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E02CA" w14:textId="76EE313D" w:rsidR="007B33CB" w:rsidRPr="00E01379" w:rsidRDefault="00E0150F" w:rsidP="00E0150F">
      <w:pPr>
        <w:tabs>
          <w:tab w:val="right" w:pos="9356"/>
        </w:tabs>
        <w:spacing w:before="52"/>
        <w:ind w:left="1145" w:right="242" w:hanging="1145"/>
        <w:rPr>
          <w:rFonts w:asciiTheme="minorHAnsi" w:hAnsiTheme="minorHAnsi" w:cstheme="minorHAnsi"/>
          <w:b/>
          <w:sz w:val="24"/>
          <w:szCs w:val="24"/>
        </w:rPr>
      </w:pPr>
      <w:bookmarkStart w:id="0" w:name="_GoBack"/>
      <w:bookmarkEnd w:id="0"/>
      <w:r w:rsidRPr="00E01379">
        <w:rPr>
          <w:rFonts w:asciiTheme="minorHAnsi" w:hAnsiTheme="minorHAnsi" w:cstheme="minorHAnsi"/>
          <w:b/>
          <w:sz w:val="24"/>
          <w:szCs w:val="24"/>
        </w:rPr>
        <w:tab/>
      </w:r>
    </w:p>
    <w:p w14:paraId="344AB720" w14:textId="77777777" w:rsidR="00413628" w:rsidRPr="00E01379" w:rsidRDefault="00413628" w:rsidP="007B33CB">
      <w:pPr>
        <w:spacing w:before="52"/>
        <w:ind w:left="2835" w:right="1378" w:hanging="1050"/>
        <w:rPr>
          <w:rFonts w:asciiTheme="minorHAnsi" w:hAnsiTheme="minorHAnsi" w:cstheme="minorHAnsi"/>
          <w:b/>
          <w:sz w:val="24"/>
          <w:szCs w:val="24"/>
        </w:rPr>
      </w:pPr>
    </w:p>
    <w:p w14:paraId="31602782" w14:textId="5F0C0ECB" w:rsidR="007B33CB" w:rsidRPr="00E01379" w:rsidRDefault="007B33CB" w:rsidP="003770F6">
      <w:pPr>
        <w:spacing w:before="52"/>
        <w:ind w:left="1843" w:right="1378"/>
        <w:jc w:val="center"/>
        <w:rPr>
          <w:rFonts w:asciiTheme="minorHAnsi" w:hAnsiTheme="minorHAnsi" w:cstheme="minorHAnsi"/>
          <w:b/>
          <w:sz w:val="24"/>
          <w:szCs w:val="24"/>
        </w:rPr>
      </w:pPr>
      <w:r w:rsidRPr="00E01379">
        <w:rPr>
          <w:rFonts w:asciiTheme="minorHAnsi" w:hAnsiTheme="minorHAnsi" w:cstheme="minorHAnsi"/>
          <w:b/>
          <w:sz w:val="24"/>
          <w:szCs w:val="24"/>
        </w:rPr>
        <w:t xml:space="preserve">COMPASS GOLD </w:t>
      </w:r>
      <w:r w:rsidR="002A4833" w:rsidRPr="00E01379">
        <w:rPr>
          <w:rFonts w:asciiTheme="minorHAnsi" w:hAnsiTheme="minorHAnsi" w:cstheme="minorHAnsi"/>
          <w:b/>
          <w:sz w:val="24"/>
          <w:szCs w:val="24"/>
        </w:rPr>
        <w:t xml:space="preserve">SIGNS LETTER OF INTENT </w:t>
      </w:r>
      <w:r w:rsidR="003770F6">
        <w:rPr>
          <w:rFonts w:asciiTheme="minorHAnsi" w:hAnsiTheme="minorHAnsi" w:cstheme="minorHAnsi"/>
          <w:b/>
          <w:sz w:val="24"/>
          <w:szCs w:val="24"/>
        </w:rPr>
        <w:t xml:space="preserve">TO </w:t>
      </w:r>
      <w:r w:rsidR="00D93CB0">
        <w:rPr>
          <w:rFonts w:asciiTheme="minorHAnsi" w:hAnsiTheme="minorHAnsi" w:cstheme="minorHAnsi"/>
          <w:b/>
          <w:sz w:val="24"/>
          <w:szCs w:val="24"/>
        </w:rPr>
        <w:br/>
      </w:r>
      <w:r w:rsidR="003770F6">
        <w:rPr>
          <w:rFonts w:asciiTheme="minorHAnsi" w:hAnsiTheme="minorHAnsi" w:cstheme="minorHAnsi"/>
          <w:b/>
          <w:sz w:val="24"/>
          <w:szCs w:val="24"/>
        </w:rPr>
        <w:t>ACQUIRE</w:t>
      </w:r>
      <w:r w:rsidR="001C418F" w:rsidRPr="00E01379">
        <w:rPr>
          <w:rFonts w:asciiTheme="minorHAnsi" w:hAnsiTheme="minorHAnsi" w:cstheme="minorHAnsi"/>
          <w:b/>
          <w:sz w:val="24"/>
          <w:szCs w:val="24"/>
        </w:rPr>
        <w:t xml:space="preserve"> </w:t>
      </w:r>
      <w:r w:rsidR="00E01379">
        <w:rPr>
          <w:rFonts w:asciiTheme="minorHAnsi" w:hAnsiTheme="minorHAnsi" w:cstheme="minorHAnsi"/>
          <w:b/>
          <w:sz w:val="24"/>
          <w:szCs w:val="24"/>
        </w:rPr>
        <w:t xml:space="preserve">SIKASSO </w:t>
      </w:r>
      <w:r w:rsidRPr="00E01379">
        <w:rPr>
          <w:rFonts w:asciiTheme="minorHAnsi" w:hAnsiTheme="minorHAnsi" w:cstheme="minorHAnsi"/>
          <w:b/>
          <w:sz w:val="24"/>
          <w:szCs w:val="24"/>
        </w:rPr>
        <w:t xml:space="preserve">GOLD </w:t>
      </w:r>
      <w:r w:rsidR="001C418F" w:rsidRPr="00E01379">
        <w:rPr>
          <w:rFonts w:asciiTheme="minorHAnsi" w:hAnsiTheme="minorHAnsi" w:cstheme="minorHAnsi"/>
          <w:b/>
          <w:sz w:val="24"/>
          <w:szCs w:val="24"/>
        </w:rPr>
        <w:t>ASSETS</w:t>
      </w:r>
      <w:r w:rsidR="00E01379">
        <w:rPr>
          <w:rFonts w:asciiTheme="minorHAnsi" w:hAnsiTheme="minorHAnsi" w:cstheme="minorHAnsi"/>
          <w:b/>
          <w:sz w:val="24"/>
          <w:szCs w:val="24"/>
        </w:rPr>
        <w:t xml:space="preserve"> IN MALI</w:t>
      </w:r>
    </w:p>
    <w:p w14:paraId="1BE9C708" w14:textId="77777777" w:rsidR="00413628" w:rsidRPr="00E01379" w:rsidRDefault="00413628" w:rsidP="00413628">
      <w:pPr>
        <w:pStyle w:val="BodyText"/>
        <w:spacing w:before="7"/>
        <w:ind w:left="119"/>
        <w:rPr>
          <w:rFonts w:asciiTheme="minorHAnsi" w:hAnsiTheme="minorHAnsi" w:cstheme="minorHAnsi"/>
          <w:b/>
          <w:sz w:val="24"/>
          <w:szCs w:val="24"/>
        </w:rPr>
      </w:pPr>
    </w:p>
    <w:p w14:paraId="728548FB" w14:textId="1B160113" w:rsidR="007B33CB" w:rsidRPr="00E01379" w:rsidRDefault="007B33CB" w:rsidP="007B33CB">
      <w:pPr>
        <w:ind w:left="119" w:right="117"/>
        <w:jc w:val="both"/>
        <w:rPr>
          <w:rFonts w:asciiTheme="minorHAnsi" w:hAnsiTheme="minorHAnsi" w:cstheme="minorHAnsi"/>
          <w:sz w:val="24"/>
          <w:szCs w:val="24"/>
        </w:rPr>
      </w:pPr>
      <w:r w:rsidRPr="00E01379">
        <w:rPr>
          <w:rFonts w:asciiTheme="minorHAnsi" w:hAnsiTheme="minorHAnsi" w:cstheme="minorHAnsi"/>
          <w:b/>
          <w:i/>
          <w:sz w:val="24"/>
          <w:szCs w:val="24"/>
        </w:rPr>
        <w:t xml:space="preserve">Vancouver, BC and Sydney, Australia, July </w:t>
      </w:r>
      <w:r w:rsidR="00D93CB0">
        <w:rPr>
          <w:rFonts w:asciiTheme="minorHAnsi" w:hAnsiTheme="minorHAnsi" w:cstheme="minorHAnsi"/>
          <w:b/>
          <w:i/>
          <w:sz w:val="24"/>
          <w:szCs w:val="24"/>
        </w:rPr>
        <w:t>13</w:t>
      </w:r>
      <w:r w:rsidRPr="00E01379">
        <w:rPr>
          <w:rFonts w:asciiTheme="minorHAnsi" w:hAnsiTheme="minorHAnsi" w:cstheme="minorHAnsi"/>
          <w:b/>
          <w:i/>
          <w:sz w:val="24"/>
          <w:szCs w:val="24"/>
        </w:rPr>
        <w:t xml:space="preserve">, 2017 – </w:t>
      </w:r>
      <w:r w:rsidRPr="00E01379">
        <w:rPr>
          <w:rFonts w:asciiTheme="minorHAnsi" w:hAnsiTheme="minorHAnsi" w:cstheme="minorHAnsi"/>
          <w:b/>
          <w:sz w:val="24"/>
          <w:szCs w:val="24"/>
        </w:rPr>
        <w:t>Compass Gold Corp. (NEX:</w:t>
      </w:r>
      <w:r w:rsidR="003562AD">
        <w:rPr>
          <w:rFonts w:asciiTheme="minorHAnsi" w:hAnsiTheme="minorHAnsi" w:cstheme="minorHAnsi"/>
          <w:b/>
          <w:sz w:val="24"/>
          <w:szCs w:val="24"/>
        </w:rPr>
        <w:t>CVB</w:t>
      </w:r>
      <w:r w:rsidRPr="00E01379">
        <w:rPr>
          <w:rFonts w:asciiTheme="minorHAnsi" w:hAnsiTheme="minorHAnsi" w:cstheme="minorHAnsi"/>
          <w:b/>
          <w:sz w:val="24"/>
          <w:szCs w:val="24"/>
        </w:rPr>
        <w:t xml:space="preserve">.H) (“Compass” or the “Company”) </w:t>
      </w:r>
      <w:r w:rsidRPr="00E01379">
        <w:rPr>
          <w:rFonts w:asciiTheme="minorHAnsi" w:hAnsiTheme="minorHAnsi" w:cstheme="minorHAnsi"/>
          <w:sz w:val="24"/>
          <w:szCs w:val="24"/>
        </w:rPr>
        <w:t xml:space="preserve">and </w:t>
      </w:r>
      <w:r w:rsidRPr="00E01379">
        <w:rPr>
          <w:rFonts w:asciiTheme="minorHAnsi" w:hAnsiTheme="minorHAnsi" w:cstheme="minorHAnsi"/>
          <w:b/>
          <w:sz w:val="24"/>
          <w:szCs w:val="24"/>
        </w:rPr>
        <w:t xml:space="preserve">Mali Gold Exploration Pty Ltd (“MGE”) </w:t>
      </w:r>
      <w:r w:rsidRPr="00E01379">
        <w:rPr>
          <w:rFonts w:asciiTheme="minorHAnsi" w:hAnsiTheme="minorHAnsi" w:cstheme="minorHAnsi"/>
          <w:sz w:val="24"/>
          <w:szCs w:val="24"/>
        </w:rPr>
        <w:t xml:space="preserve">are pleased to announce that they have entered into a binding </w:t>
      </w:r>
      <w:r w:rsidR="001C418F" w:rsidRPr="00E01379">
        <w:rPr>
          <w:rFonts w:asciiTheme="minorHAnsi" w:hAnsiTheme="minorHAnsi" w:cstheme="minorHAnsi"/>
          <w:sz w:val="24"/>
          <w:szCs w:val="24"/>
        </w:rPr>
        <w:t>letter of intent</w:t>
      </w:r>
      <w:r w:rsidRPr="00E01379">
        <w:rPr>
          <w:rFonts w:asciiTheme="minorHAnsi" w:hAnsiTheme="minorHAnsi" w:cstheme="minorHAnsi"/>
          <w:sz w:val="24"/>
          <w:szCs w:val="24"/>
        </w:rPr>
        <w:t xml:space="preserve"> (the "</w:t>
      </w:r>
      <w:r w:rsidR="001C418F" w:rsidRPr="00E01379">
        <w:rPr>
          <w:rFonts w:asciiTheme="minorHAnsi" w:hAnsiTheme="minorHAnsi" w:cstheme="minorHAnsi"/>
          <w:b/>
          <w:sz w:val="24"/>
          <w:szCs w:val="24"/>
        </w:rPr>
        <w:t>Letter</w:t>
      </w:r>
      <w:r w:rsidR="001C418F" w:rsidRPr="00E01379">
        <w:rPr>
          <w:rFonts w:asciiTheme="minorHAnsi" w:hAnsiTheme="minorHAnsi" w:cstheme="minorHAnsi"/>
          <w:sz w:val="24"/>
          <w:szCs w:val="24"/>
        </w:rPr>
        <w:t xml:space="preserve"> </w:t>
      </w:r>
      <w:r w:rsidRPr="00E01379">
        <w:rPr>
          <w:rFonts w:asciiTheme="minorHAnsi" w:hAnsiTheme="minorHAnsi" w:cstheme="minorHAnsi"/>
          <w:b/>
          <w:sz w:val="24"/>
          <w:szCs w:val="24"/>
        </w:rPr>
        <w:t>Agreement</w:t>
      </w:r>
      <w:r w:rsidR="00525753">
        <w:rPr>
          <w:rFonts w:asciiTheme="minorHAnsi" w:hAnsiTheme="minorHAnsi" w:cstheme="minorHAnsi"/>
          <w:sz w:val="24"/>
          <w:szCs w:val="24"/>
        </w:rPr>
        <w:t>") dated July 13</w:t>
      </w:r>
      <w:r w:rsidRPr="00E01379">
        <w:rPr>
          <w:rFonts w:asciiTheme="minorHAnsi" w:hAnsiTheme="minorHAnsi" w:cstheme="minorHAnsi"/>
          <w:sz w:val="24"/>
          <w:szCs w:val="24"/>
        </w:rPr>
        <w:t xml:space="preserve">, 2017 (as signed by the two companies and MGE's principal shareholders), </w:t>
      </w:r>
      <w:r w:rsidR="00865578">
        <w:rPr>
          <w:rFonts w:asciiTheme="minorHAnsi" w:hAnsiTheme="minorHAnsi" w:cstheme="minorHAnsi"/>
          <w:sz w:val="24"/>
          <w:szCs w:val="24"/>
        </w:rPr>
        <w:t xml:space="preserve">setting out the terms and conditions for </w:t>
      </w:r>
      <w:r w:rsidRPr="00E01379">
        <w:rPr>
          <w:rFonts w:asciiTheme="minorHAnsi" w:hAnsiTheme="minorHAnsi" w:cstheme="minorHAnsi"/>
          <w:sz w:val="24"/>
          <w:szCs w:val="24"/>
        </w:rPr>
        <w:t>Compass</w:t>
      </w:r>
      <w:r w:rsidR="00865578">
        <w:rPr>
          <w:rFonts w:asciiTheme="minorHAnsi" w:hAnsiTheme="minorHAnsi" w:cstheme="minorHAnsi"/>
          <w:sz w:val="24"/>
          <w:szCs w:val="24"/>
        </w:rPr>
        <w:t xml:space="preserve"> to</w:t>
      </w:r>
      <w:r w:rsidRPr="00E01379">
        <w:rPr>
          <w:rFonts w:asciiTheme="minorHAnsi" w:hAnsiTheme="minorHAnsi" w:cstheme="minorHAnsi"/>
          <w:sz w:val="24"/>
          <w:szCs w:val="24"/>
        </w:rPr>
        <w:t xml:space="preserve"> acquire all of the issued and outstanding shares of MGE (the "</w:t>
      </w:r>
      <w:r w:rsidRPr="00E01379">
        <w:rPr>
          <w:rFonts w:asciiTheme="minorHAnsi" w:hAnsiTheme="minorHAnsi" w:cstheme="minorHAnsi"/>
          <w:b/>
          <w:sz w:val="24"/>
          <w:szCs w:val="24"/>
        </w:rPr>
        <w:t>MGE Shares</w:t>
      </w:r>
      <w:r w:rsidRPr="00E01379">
        <w:rPr>
          <w:rFonts w:asciiTheme="minorHAnsi" w:hAnsiTheme="minorHAnsi" w:cstheme="minorHAnsi"/>
          <w:sz w:val="24"/>
          <w:szCs w:val="24"/>
        </w:rPr>
        <w:t xml:space="preserve">") in exchange for the issuance of Post‐Consolidation Shares (as defined below) of Compass to the shareholders of MGE.  </w:t>
      </w:r>
      <w:r w:rsidR="00F43801" w:rsidRPr="00E01379">
        <w:rPr>
          <w:rFonts w:asciiTheme="minorHAnsi" w:hAnsiTheme="minorHAnsi" w:cstheme="minorHAnsi"/>
          <w:sz w:val="24"/>
          <w:szCs w:val="24"/>
        </w:rPr>
        <w:t>It is expected t</w:t>
      </w:r>
      <w:r w:rsidRPr="00E01379">
        <w:rPr>
          <w:rFonts w:asciiTheme="minorHAnsi" w:hAnsiTheme="minorHAnsi" w:cstheme="minorHAnsi"/>
          <w:sz w:val="24"/>
          <w:szCs w:val="24"/>
        </w:rPr>
        <w:t>he acquisition of MGE (the "</w:t>
      </w:r>
      <w:r w:rsidRPr="00E01379">
        <w:rPr>
          <w:rFonts w:asciiTheme="minorHAnsi" w:hAnsiTheme="minorHAnsi" w:cstheme="minorHAnsi"/>
          <w:b/>
          <w:sz w:val="24"/>
          <w:szCs w:val="24"/>
        </w:rPr>
        <w:t>Acquisition</w:t>
      </w:r>
      <w:r w:rsidRPr="00E01379">
        <w:rPr>
          <w:rFonts w:asciiTheme="minorHAnsi" w:hAnsiTheme="minorHAnsi" w:cstheme="minorHAnsi"/>
          <w:sz w:val="24"/>
          <w:szCs w:val="24"/>
        </w:rPr>
        <w:t xml:space="preserve">") will constitute </w:t>
      </w:r>
      <w:r w:rsidR="003770F6">
        <w:rPr>
          <w:rFonts w:asciiTheme="minorHAnsi" w:hAnsiTheme="minorHAnsi" w:cstheme="minorHAnsi"/>
          <w:sz w:val="24"/>
          <w:szCs w:val="24"/>
        </w:rPr>
        <w:t>a Reactivation and a Reverse Takeover</w:t>
      </w:r>
      <w:r w:rsidR="00865578">
        <w:rPr>
          <w:rFonts w:asciiTheme="minorHAnsi" w:hAnsiTheme="minorHAnsi" w:cstheme="minorHAnsi"/>
          <w:sz w:val="24"/>
          <w:szCs w:val="24"/>
        </w:rPr>
        <w:t xml:space="preserve"> of Compass</w:t>
      </w:r>
      <w:r w:rsidRPr="00E01379">
        <w:rPr>
          <w:rFonts w:asciiTheme="minorHAnsi" w:hAnsiTheme="minorHAnsi" w:cstheme="minorHAnsi"/>
          <w:sz w:val="24"/>
          <w:szCs w:val="24"/>
        </w:rPr>
        <w:t xml:space="preserve"> as such term</w:t>
      </w:r>
      <w:r w:rsidR="003770F6">
        <w:rPr>
          <w:rFonts w:asciiTheme="minorHAnsi" w:hAnsiTheme="minorHAnsi" w:cstheme="minorHAnsi"/>
          <w:sz w:val="24"/>
          <w:szCs w:val="24"/>
        </w:rPr>
        <w:t>s</w:t>
      </w:r>
      <w:r w:rsidRPr="00E01379">
        <w:rPr>
          <w:rFonts w:asciiTheme="minorHAnsi" w:hAnsiTheme="minorHAnsi" w:cstheme="minorHAnsi"/>
          <w:spacing w:val="-5"/>
          <w:sz w:val="24"/>
          <w:szCs w:val="24"/>
        </w:rPr>
        <w:t xml:space="preserve"> </w:t>
      </w:r>
      <w:r w:rsidR="003770F6">
        <w:rPr>
          <w:rFonts w:asciiTheme="minorHAnsi" w:hAnsiTheme="minorHAnsi" w:cstheme="minorHAnsi"/>
          <w:sz w:val="24"/>
          <w:szCs w:val="24"/>
        </w:rPr>
        <w:t>are</w:t>
      </w:r>
      <w:r w:rsidRPr="00E01379">
        <w:rPr>
          <w:rFonts w:asciiTheme="minorHAnsi" w:hAnsiTheme="minorHAnsi" w:cstheme="minorHAnsi"/>
          <w:spacing w:val="-3"/>
          <w:sz w:val="24"/>
          <w:szCs w:val="24"/>
        </w:rPr>
        <w:t xml:space="preserve"> </w:t>
      </w:r>
      <w:r w:rsidRPr="00E01379">
        <w:rPr>
          <w:rFonts w:asciiTheme="minorHAnsi" w:hAnsiTheme="minorHAnsi" w:cstheme="minorHAnsi"/>
          <w:sz w:val="24"/>
          <w:szCs w:val="24"/>
        </w:rPr>
        <w:t>defined</w:t>
      </w:r>
      <w:r w:rsidRPr="00E01379">
        <w:rPr>
          <w:rFonts w:asciiTheme="minorHAnsi" w:hAnsiTheme="minorHAnsi" w:cstheme="minorHAnsi"/>
          <w:spacing w:val="-4"/>
          <w:sz w:val="24"/>
          <w:szCs w:val="24"/>
        </w:rPr>
        <w:t xml:space="preserve"> </w:t>
      </w:r>
      <w:r w:rsidRPr="00E01379">
        <w:rPr>
          <w:rFonts w:asciiTheme="minorHAnsi" w:hAnsiTheme="minorHAnsi" w:cstheme="minorHAnsi"/>
          <w:sz w:val="24"/>
          <w:szCs w:val="24"/>
        </w:rPr>
        <w:t>in</w:t>
      </w:r>
      <w:r w:rsidRPr="00E01379">
        <w:rPr>
          <w:rFonts w:asciiTheme="minorHAnsi" w:hAnsiTheme="minorHAnsi" w:cstheme="minorHAnsi"/>
          <w:spacing w:val="-3"/>
          <w:sz w:val="24"/>
          <w:szCs w:val="24"/>
        </w:rPr>
        <w:t xml:space="preserve"> </w:t>
      </w:r>
      <w:r w:rsidRPr="00E01379">
        <w:rPr>
          <w:rFonts w:asciiTheme="minorHAnsi" w:hAnsiTheme="minorHAnsi" w:cstheme="minorHAnsi"/>
          <w:sz w:val="24"/>
          <w:szCs w:val="24"/>
        </w:rPr>
        <w:t>the</w:t>
      </w:r>
      <w:r w:rsidRPr="00E01379">
        <w:rPr>
          <w:rFonts w:asciiTheme="minorHAnsi" w:hAnsiTheme="minorHAnsi" w:cstheme="minorHAnsi"/>
          <w:spacing w:val="-3"/>
          <w:sz w:val="24"/>
          <w:szCs w:val="24"/>
        </w:rPr>
        <w:t xml:space="preserve"> </w:t>
      </w:r>
      <w:r w:rsidRPr="00E01379">
        <w:rPr>
          <w:rFonts w:asciiTheme="minorHAnsi" w:hAnsiTheme="minorHAnsi" w:cstheme="minorHAnsi"/>
          <w:sz w:val="24"/>
          <w:szCs w:val="24"/>
        </w:rPr>
        <w:t>policies</w:t>
      </w:r>
      <w:r w:rsidRPr="00E01379">
        <w:rPr>
          <w:rFonts w:asciiTheme="minorHAnsi" w:hAnsiTheme="minorHAnsi" w:cstheme="minorHAnsi"/>
          <w:spacing w:val="-3"/>
          <w:sz w:val="24"/>
          <w:szCs w:val="24"/>
        </w:rPr>
        <w:t xml:space="preserve"> </w:t>
      </w:r>
      <w:r w:rsidRPr="00E01379">
        <w:rPr>
          <w:rFonts w:asciiTheme="minorHAnsi" w:hAnsiTheme="minorHAnsi" w:cstheme="minorHAnsi"/>
          <w:sz w:val="24"/>
          <w:szCs w:val="24"/>
        </w:rPr>
        <w:t>of</w:t>
      </w:r>
      <w:r w:rsidRPr="00E01379">
        <w:rPr>
          <w:rFonts w:asciiTheme="minorHAnsi" w:hAnsiTheme="minorHAnsi" w:cstheme="minorHAnsi"/>
          <w:spacing w:val="-4"/>
          <w:sz w:val="24"/>
          <w:szCs w:val="24"/>
        </w:rPr>
        <w:t xml:space="preserve"> </w:t>
      </w:r>
      <w:r w:rsidRPr="00E01379">
        <w:rPr>
          <w:rFonts w:asciiTheme="minorHAnsi" w:hAnsiTheme="minorHAnsi" w:cstheme="minorHAnsi"/>
          <w:sz w:val="24"/>
          <w:szCs w:val="24"/>
        </w:rPr>
        <w:t>the</w:t>
      </w:r>
      <w:r w:rsidRPr="00E01379">
        <w:rPr>
          <w:rFonts w:asciiTheme="minorHAnsi" w:hAnsiTheme="minorHAnsi" w:cstheme="minorHAnsi"/>
          <w:spacing w:val="-3"/>
          <w:sz w:val="24"/>
          <w:szCs w:val="24"/>
        </w:rPr>
        <w:t xml:space="preserve"> </w:t>
      </w:r>
      <w:r w:rsidRPr="00E01379">
        <w:rPr>
          <w:rFonts w:asciiTheme="minorHAnsi" w:hAnsiTheme="minorHAnsi" w:cstheme="minorHAnsi"/>
          <w:sz w:val="24"/>
          <w:szCs w:val="24"/>
        </w:rPr>
        <w:t>TSX</w:t>
      </w:r>
      <w:r w:rsidRPr="00E01379">
        <w:rPr>
          <w:rFonts w:asciiTheme="minorHAnsi" w:hAnsiTheme="minorHAnsi" w:cstheme="minorHAnsi"/>
          <w:spacing w:val="-4"/>
          <w:sz w:val="24"/>
          <w:szCs w:val="24"/>
        </w:rPr>
        <w:t xml:space="preserve"> </w:t>
      </w:r>
      <w:r w:rsidRPr="00E01379">
        <w:rPr>
          <w:rFonts w:asciiTheme="minorHAnsi" w:hAnsiTheme="minorHAnsi" w:cstheme="minorHAnsi"/>
          <w:sz w:val="24"/>
          <w:szCs w:val="24"/>
        </w:rPr>
        <w:t>Venture</w:t>
      </w:r>
      <w:r w:rsidRPr="00E01379">
        <w:rPr>
          <w:rFonts w:asciiTheme="minorHAnsi" w:hAnsiTheme="minorHAnsi" w:cstheme="minorHAnsi"/>
          <w:spacing w:val="-3"/>
          <w:sz w:val="24"/>
          <w:szCs w:val="24"/>
        </w:rPr>
        <w:t xml:space="preserve"> </w:t>
      </w:r>
      <w:r w:rsidRPr="00E01379">
        <w:rPr>
          <w:rFonts w:asciiTheme="minorHAnsi" w:hAnsiTheme="minorHAnsi" w:cstheme="minorHAnsi"/>
          <w:sz w:val="24"/>
          <w:szCs w:val="24"/>
        </w:rPr>
        <w:t>Exchange</w:t>
      </w:r>
      <w:r w:rsidRPr="00E01379">
        <w:rPr>
          <w:rFonts w:asciiTheme="minorHAnsi" w:hAnsiTheme="minorHAnsi" w:cstheme="minorHAnsi"/>
          <w:spacing w:val="-2"/>
          <w:sz w:val="24"/>
          <w:szCs w:val="24"/>
        </w:rPr>
        <w:t xml:space="preserve"> </w:t>
      </w:r>
      <w:r w:rsidRPr="00E01379">
        <w:rPr>
          <w:rFonts w:asciiTheme="minorHAnsi" w:hAnsiTheme="minorHAnsi" w:cstheme="minorHAnsi"/>
          <w:sz w:val="24"/>
          <w:szCs w:val="24"/>
        </w:rPr>
        <w:t>(</w:t>
      </w:r>
      <w:r w:rsidR="003562AD">
        <w:rPr>
          <w:rFonts w:asciiTheme="minorHAnsi" w:hAnsiTheme="minorHAnsi" w:cstheme="minorHAnsi"/>
          <w:b/>
          <w:sz w:val="24"/>
          <w:szCs w:val="24"/>
        </w:rPr>
        <w:t>“</w:t>
      </w:r>
      <w:r w:rsidR="003735E6">
        <w:rPr>
          <w:rFonts w:asciiTheme="minorHAnsi" w:hAnsiTheme="minorHAnsi" w:cstheme="minorHAnsi"/>
          <w:b/>
          <w:sz w:val="24"/>
          <w:szCs w:val="24"/>
        </w:rPr>
        <w:t xml:space="preserve">TSXV” </w:t>
      </w:r>
      <w:r w:rsidR="003735E6">
        <w:rPr>
          <w:rFonts w:asciiTheme="minorHAnsi" w:hAnsiTheme="minorHAnsi" w:cstheme="minorHAnsi"/>
          <w:sz w:val="24"/>
          <w:szCs w:val="24"/>
        </w:rPr>
        <w:t>or</w:t>
      </w:r>
      <w:r w:rsidR="003562AD">
        <w:rPr>
          <w:rFonts w:asciiTheme="minorHAnsi" w:hAnsiTheme="minorHAnsi" w:cstheme="minorHAnsi"/>
          <w:sz w:val="24"/>
          <w:szCs w:val="24"/>
        </w:rPr>
        <w:t xml:space="preserve"> </w:t>
      </w:r>
      <w:r w:rsidRPr="003562AD">
        <w:rPr>
          <w:rFonts w:asciiTheme="minorHAnsi" w:hAnsiTheme="minorHAnsi" w:cstheme="minorHAnsi"/>
          <w:sz w:val="24"/>
          <w:szCs w:val="24"/>
        </w:rPr>
        <w:t>the</w:t>
      </w:r>
      <w:r w:rsidRPr="00E01379">
        <w:rPr>
          <w:rFonts w:asciiTheme="minorHAnsi" w:hAnsiTheme="minorHAnsi" w:cstheme="minorHAnsi"/>
          <w:spacing w:val="-3"/>
          <w:sz w:val="24"/>
          <w:szCs w:val="24"/>
        </w:rPr>
        <w:t xml:space="preserve"> </w:t>
      </w:r>
      <w:r w:rsidRPr="00E01379">
        <w:rPr>
          <w:rFonts w:asciiTheme="minorHAnsi" w:hAnsiTheme="minorHAnsi" w:cstheme="minorHAnsi"/>
          <w:sz w:val="24"/>
          <w:szCs w:val="24"/>
        </w:rPr>
        <w:t>"</w:t>
      </w:r>
      <w:r w:rsidRPr="00E01379">
        <w:rPr>
          <w:rFonts w:asciiTheme="minorHAnsi" w:hAnsiTheme="minorHAnsi" w:cstheme="minorHAnsi"/>
          <w:b/>
          <w:sz w:val="24"/>
          <w:szCs w:val="24"/>
        </w:rPr>
        <w:t>Exchange</w:t>
      </w:r>
      <w:r w:rsidRPr="00E01379">
        <w:rPr>
          <w:rFonts w:asciiTheme="minorHAnsi" w:hAnsiTheme="minorHAnsi" w:cstheme="minorHAnsi"/>
          <w:sz w:val="24"/>
          <w:szCs w:val="24"/>
        </w:rPr>
        <w:t>").</w:t>
      </w:r>
    </w:p>
    <w:p w14:paraId="7E4DC588" w14:textId="77777777" w:rsidR="00396546" w:rsidRPr="00E01379" w:rsidRDefault="00396546" w:rsidP="007B33CB">
      <w:pPr>
        <w:ind w:left="119" w:right="117"/>
        <w:jc w:val="both"/>
        <w:rPr>
          <w:rFonts w:asciiTheme="minorHAnsi" w:hAnsiTheme="minorHAnsi" w:cstheme="minorHAnsi"/>
          <w:sz w:val="24"/>
          <w:szCs w:val="24"/>
        </w:rPr>
      </w:pPr>
    </w:p>
    <w:p w14:paraId="089FF875" w14:textId="5E5A403D" w:rsidR="00396546" w:rsidRDefault="00396546" w:rsidP="007B33CB">
      <w:pPr>
        <w:ind w:left="119" w:right="117"/>
        <w:jc w:val="both"/>
        <w:rPr>
          <w:rFonts w:asciiTheme="minorHAnsi" w:hAnsiTheme="minorHAnsi" w:cstheme="minorHAnsi"/>
          <w:b/>
          <w:sz w:val="24"/>
          <w:szCs w:val="24"/>
        </w:rPr>
      </w:pPr>
      <w:r w:rsidRPr="00E01379">
        <w:rPr>
          <w:rFonts w:asciiTheme="minorHAnsi" w:hAnsiTheme="minorHAnsi" w:cstheme="minorHAnsi"/>
          <w:b/>
          <w:sz w:val="24"/>
          <w:szCs w:val="24"/>
        </w:rPr>
        <w:t>HIGHLIGHTS:</w:t>
      </w:r>
    </w:p>
    <w:p w14:paraId="475F5BE5" w14:textId="77777777" w:rsidR="0081236B" w:rsidRPr="00E01379" w:rsidRDefault="0081236B" w:rsidP="007B33CB">
      <w:pPr>
        <w:ind w:left="119" w:right="117"/>
        <w:jc w:val="both"/>
        <w:rPr>
          <w:rFonts w:asciiTheme="minorHAnsi" w:hAnsiTheme="minorHAnsi" w:cstheme="minorHAnsi"/>
          <w:b/>
          <w:sz w:val="24"/>
          <w:szCs w:val="24"/>
        </w:rPr>
      </w:pPr>
    </w:p>
    <w:p w14:paraId="7C0B5254" w14:textId="5F240844" w:rsidR="007B33CB" w:rsidRPr="00E01379" w:rsidRDefault="00396546" w:rsidP="002A675D">
      <w:pPr>
        <w:pStyle w:val="BodyText"/>
        <w:numPr>
          <w:ilvl w:val="0"/>
          <w:numId w:val="1"/>
        </w:numPr>
        <w:spacing w:before="7" w:after="120"/>
        <w:ind w:left="833" w:hanging="357"/>
        <w:rPr>
          <w:rFonts w:asciiTheme="minorHAnsi" w:hAnsiTheme="minorHAnsi" w:cstheme="minorHAnsi"/>
          <w:b/>
          <w:sz w:val="24"/>
          <w:szCs w:val="24"/>
        </w:rPr>
      </w:pPr>
      <w:r w:rsidRPr="00E01379">
        <w:rPr>
          <w:rFonts w:asciiTheme="minorHAnsi" w:hAnsiTheme="minorHAnsi" w:cstheme="minorHAnsi"/>
          <w:b/>
          <w:sz w:val="24"/>
          <w:szCs w:val="24"/>
        </w:rPr>
        <w:t xml:space="preserve">MGE holds </w:t>
      </w:r>
      <w:r w:rsidR="002A675D" w:rsidRPr="00E01379">
        <w:rPr>
          <w:rFonts w:asciiTheme="minorHAnsi" w:hAnsiTheme="minorHAnsi" w:cstheme="minorHAnsi"/>
          <w:b/>
          <w:sz w:val="24"/>
          <w:szCs w:val="24"/>
        </w:rPr>
        <w:t xml:space="preserve">the </w:t>
      </w:r>
      <w:proofErr w:type="spellStart"/>
      <w:r w:rsidR="002A675D" w:rsidRPr="00E01379">
        <w:rPr>
          <w:rFonts w:asciiTheme="minorHAnsi" w:hAnsiTheme="minorHAnsi" w:cstheme="minorHAnsi"/>
          <w:b/>
          <w:sz w:val="24"/>
          <w:szCs w:val="24"/>
        </w:rPr>
        <w:t>Sikasso</w:t>
      </w:r>
      <w:proofErr w:type="spellEnd"/>
      <w:r w:rsidR="002A675D" w:rsidRPr="00E01379">
        <w:rPr>
          <w:rFonts w:asciiTheme="minorHAnsi" w:hAnsiTheme="minorHAnsi" w:cstheme="minorHAnsi"/>
          <w:b/>
          <w:sz w:val="24"/>
          <w:szCs w:val="24"/>
        </w:rPr>
        <w:t xml:space="preserve"> Property comprising </w:t>
      </w:r>
      <w:r w:rsidRPr="00E01379">
        <w:rPr>
          <w:rFonts w:asciiTheme="minorHAnsi" w:hAnsiTheme="minorHAnsi" w:cstheme="minorHAnsi"/>
          <w:b/>
          <w:sz w:val="24"/>
          <w:szCs w:val="24"/>
        </w:rPr>
        <w:t>five (5) gold exploration licenses in Mali, West Arica covering a total area of 1,129 km</w:t>
      </w:r>
      <w:r w:rsidRPr="00E01379">
        <w:rPr>
          <w:rFonts w:asciiTheme="minorHAnsi" w:hAnsiTheme="minorHAnsi" w:cstheme="minorHAnsi"/>
          <w:b/>
          <w:sz w:val="24"/>
          <w:szCs w:val="24"/>
          <w:vertAlign w:val="superscript"/>
        </w:rPr>
        <w:t>2</w:t>
      </w:r>
    </w:p>
    <w:p w14:paraId="596258B3" w14:textId="3866C2FF" w:rsidR="00396546" w:rsidRPr="00E01379" w:rsidRDefault="002A675D" w:rsidP="002A675D">
      <w:pPr>
        <w:pStyle w:val="BodyText"/>
        <w:numPr>
          <w:ilvl w:val="0"/>
          <w:numId w:val="1"/>
        </w:numPr>
        <w:spacing w:before="7" w:after="120"/>
        <w:ind w:left="833" w:hanging="357"/>
        <w:rPr>
          <w:rFonts w:asciiTheme="minorHAnsi" w:hAnsiTheme="minorHAnsi" w:cstheme="minorHAnsi"/>
          <w:b/>
          <w:sz w:val="24"/>
          <w:szCs w:val="24"/>
        </w:rPr>
      </w:pPr>
      <w:r w:rsidRPr="00E01379">
        <w:rPr>
          <w:rFonts w:asciiTheme="minorHAnsi" w:hAnsiTheme="minorHAnsi" w:cstheme="minorHAnsi"/>
          <w:b/>
          <w:sz w:val="24"/>
          <w:szCs w:val="24"/>
        </w:rPr>
        <w:t xml:space="preserve">Proposed </w:t>
      </w:r>
      <w:r w:rsidR="00396546" w:rsidRPr="00E01379">
        <w:rPr>
          <w:rFonts w:asciiTheme="minorHAnsi" w:hAnsiTheme="minorHAnsi" w:cstheme="minorHAnsi"/>
          <w:b/>
          <w:sz w:val="24"/>
          <w:szCs w:val="24"/>
        </w:rPr>
        <w:t xml:space="preserve">Board renewal with former </w:t>
      </w:r>
      <w:proofErr w:type="spellStart"/>
      <w:r w:rsidR="00396546" w:rsidRPr="00E01379">
        <w:rPr>
          <w:rFonts w:asciiTheme="minorHAnsi" w:hAnsiTheme="minorHAnsi" w:cstheme="minorHAnsi"/>
          <w:b/>
          <w:sz w:val="24"/>
          <w:szCs w:val="24"/>
        </w:rPr>
        <w:t>IAMGold</w:t>
      </w:r>
      <w:proofErr w:type="spellEnd"/>
      <w:r w:rsidR="00396546" w:rsidRPr="00E01379">
        <w:rPr>
          <w:rFonts w:asciiTheme="minorHAnsi" w:hAnsiTheme="minorHAnsi" w:cstheme="minorHAnsi"/>
          <w:b/>
          <w:sz w:val="24"/>
          <w:szCs w:val="24"/>
        </w:rPr>
        <w:t xml:space="preserve"> founders to join board and management of Compass</w:t>
      </w:r>
      <w:r w:rsidRPr="00E01379">
        <w:rPr>
          <w:rFonts w:asciiTheme="minorHAnsi" w:hAnsiTheme="minorHAnsi" w:cstheme="minorHAnsi"/>
          <w:b/>
          <w:sz w:val="24"/>
          <w:szCs w:val="24"/>
        </w:rPr>
        <w:t xml:space="preserve"> following the Acquisition</w:t>
      </w:r>
    </w:p>
    <w:p w14:paraId="2CF1B25B" w14:textId="767D3FB3" w:rsidR="00396546" w:rsidRPr="00E01379" w:rsidRDefault="00F20183" w:rsidP="002A675D">
      <w:pPr>
        <w:pStyle w:val="BodyText"/>
        <w:numPr>
          <w:ilvl w:val="0"/>
          <w:numId w:val="1"/>
        </w:numPr>
        <w:spacing w:before="7" w:after="120"/>
        <w:ind w:left="833" w:hanging="357"/>
        <w:rPr>
          <w:rFonts w:asciiTheme="minorHAnsi" w:hAnsiTheme="minorHAnsi" w:cstheme="minorHAnsi"/>
          <w:b/>
          <w:sz w:val="24"/>
          <w:szCs w:val="24"/>
        </w:rPr>
      </w:pPr>
      <w:r w:rsidRPr="00E01379">
        <w:rPr>
          <w:rFonts w:asciiTheme="minorHAnsi" w:hAnsiTheme="minorHAnsi" w:cstheme="minorHAnsi"/>
          <w:b/>
          <w:sz w:val="24"/>
          <w:szCs w:val="24"/>
        </w:rPr>
        <w:t>Existing and proposed Compass Board and Management have substantial experience in managing gold exploration project</w:t>
      </w:r>
      <w:r w:rsidR="00761EE1">
        <w:rPr>
          <w:rFonts w:asciiTheme="minorHAnsi" w:hAnsiTheme="minorHAnsi" w:cstheme="minorHAnsi"/>
          <w:b/>
          <w:sz w:val="24"/>
          <w:szCs w:val="24"/>
        </w:rPr>
        <w:t>s</w:t>
      </w:r>
      <w:r w:rsidRPr="00E01379">
        <w:rPr>
          <w:rFonts w:asciiTheme="minorHAnsi" w:hAnsiTheme="minorHAnsi" w:cstheme="minorHAnsi"/>
          <w:b/>
          <w:sz w:val="24"/>
          <w:szCs w:val="24"/>
        </w:rPr>
        <w:t xml:space="preserve"> in Mali</w:t>
      </w:r>
    </w:p>
    <w:p w14:paraId="0C99A6F9" w14:textId="77777777" w:rsidR="00E01379" w:rsidRDefault="00E01379" w:rsidP="00F20183">
      <w:pPr>
        <w:pStyle w:val="BodyText"/>
        <w:spacing w:before="7"/>
        <w:ind w:left="119"/>
        <w:rPr>
          <w:rFonts w:asciiTheme="minorHAnsi" w:hAnsiTheme="minorHAnsi" w:cstheme="minorHAnsi"/>
          <w:sz w:val="24"/>
          <w:szCs w:val="24"/>
        </w:rPr>
      </w:pPr>
    </w:p>
    <w:p w14:paraId="676B597F" w14:textId="0C773805" w:rsidR="007B33CB" w:rsidRPr="00E01379" w:rsidRDefault="00F20183" w:rsidP="003770F6">
      <w:pPr>
        <w:pStyle w:val="BodyText"/>
        <w:spacing w:before="7"/>
        <w:ind w:left="119"/>
        <w:jc w:val="both"/>
        <w:rPr>
          <w:rFonts w:asciiTheme="minorHAnsi" w:hAnsiTheme="minorHAnsi" w:cstheme="minorHAnsi"/>
          <w:sz w:val="24"/>
          <w:szCs w:val="24"/>
        </w:rPr>
      </w:pPr>
      <w:r w:rsidRPr="00E01379">
        <w:rPr>
          <w:rFonts w:asciiTheme="minorHAnsi" w:hAnsiTheme="minorHAnsi" w:cstheme="minorHAnsi"/>
          <w:sz w:val="24"/>
          <w:szCs w:val="24"/>
        </w:rPr>
        <w:t>Compass and MGE have common directors and shareholders (as outlined further below) and therefore the Acquisition will not be an</w:t>
      </w:r>
      <w:r w:rsidR="00E01379">
        <w:rPr>
          <w:rFonts w:asciiTheme="minorHAnsi" w:hAnsiTheme="minorHAnsi" w:cstheme="minorHAnsi"/>
          <w:sz w:val="24"/>
          <w:szCs w:val="24"/>
        </w:rPr>
        <w:t xml:space="preserve"> </w:t>
      </w:r>
      <w:r w:rsidR="00E01379" w:rsidRPr="00E01379">
        <w:rPr>
          <w:rFonts w:asciiTheme="minorHAnsi" w:hAnsiTheme="minorHAnsi" w:cstheme="minorHAnsi"/>
          <w:sz w:val="24"/>
          <w:szCs w:val="24"/>
        </w:rPr>
        <w:t>arm's length transaction under the policies of the TSX</w:t>
      </w:r>
      <w:r w:rsidR="003562AD">
        <w:rPr>
          <w:rFonts w:asciiTheme="minorHAnsi" w:hAnsiTheme="minorHAnsi" w:cstheme="minorHAnsi"/>
          <w:sz w:val="24"/>
          <w:szCs w:val="24"/>
        </w:rPr>
        <w:t>V</w:t>
      </w:r>
      <w:r w:rsidR="00E01379" w:rsidRPr="00E01379">
        <w:rPr>
          <w:rFonts w:asciiTheme="minorHAnsi" w:hAnsiTheme="minorHAnsi" w:cstheme="minorHAnsi"/>
          <w:sz w:val="24"/>
          <w:szCs w:val="24"/>
        </w:rPr>
        <w:t>. Consequently, the board of directors of the Company (the "</w:t>
      </w:r>
      <w:r w:rsidR="00E01379" w:rsidRPr="00E01379">
        <w:rPr>
          <w:rFonts w:asciiTheme="minorHAnsi" w:hAnsiTheme="minorHAnsi" w:cstheme="minorHAnsi"/>
          <w:b/>
          <w:sz w:val="24"/>
          <w:szCs w:val="24"/>
        </w:rPr>
        <w:t>Board</w:t>
      </w:r>
      <w:r w:rsidR="00E01379" w:rsidRPr="00E01379">
        <w:rPr>
          <w:rFonts w:asciiTheme="minorHAnsi" w:hAnsiTheme="minorHAnsi" w:cstheme="minorHAnsi"/>
          <w:sz w:val="24"/>
          <w:szCs w:val="24"/>
        </w:rPr>
        <w:t>") has formed a special committee of independent directors (the "</w:t>
      </w:r>
      <w:r w:rsidR="00E01379" w:rsidRPr="00E01379">
        <w:rPr>
          <w:rFonts w:asciiTheme="minorHAnsi" w:hAnsiTheme="minorHAnsi" w:cstheme="minorHAnsi"/>
          <w:b/>
          <w:sz w:val="24"/>
          <w:szCs w:val="24"/>
        </w:rPr>
        <w:t>Special Committee</w:t>
      </w:r>
      <w:r w:rsidR="00E01379" w:rsidRPr="00E01379">
        <w:rPr>
          <w:rFonts w:asciiTheme="minorHAnsi" w:hAnsiTheme="minorHAnsi" w:cstheme="minorHAnsi"/>
          <w:sz w:val="24"/>
          <w:szCs w:val="24"/>
        </w:rPr>
        <w:t xml:space="preserve">") to consider the </w:t>
      </w:r>
      <w:r w:rsidR="00496DF4">
        <w:rPr>
          <w:rFonts w:asciiTheme="minorHAnsi" w:hAnsiTheme="minorHAnsi" w:cstheme="minorHAnsi"/>
          <w:sz w:val="24"/>
          <w:szCs w:val="24"/>
        </w:rPr>
        <w:t>Acquisition</w:t>
      </w:r>
      <w:r w:rsidR="00E01379" w:rsidRPr="00E01379">
        <w:rPr>
          <w:rFonts w:asciiTheme="minorHAnsi" w:hAnsiTheme="minorHAnsi" w:cstheme="minorHAnsi"/>
          <w:sz w:val="24"/>
          <w:szCs w:val="24"/>
        </w:rPr>
        <w:t xml:space="preserve"> and advise the Board whether the transaction would be in the best interests of the Company and its shareholders and to approve, if appropriate, the terms of a definitive agreement in respect of the </w:t>
      </w:r>
      <w:r w:rsidR="00E01379">
        <w:rPr>
          <w:rFonts w:asciiTheme="minorHAnsi" w:hAnsiTheme="minorHAnsi" w:cstheme="minorHAnsi"/>
          <w:sz w:val="24"/>
          <w:szCs w:val="24"/>
        </w:rPr>
        <w:t>Acquisition</w:t>
      </w:r>
      <w:r w:rsidR="00E01379" w:rsidRPr="00E01379">
        <w:rPr>
          <w:rFonts w:asciiTheme="minorHAnsi" w:hAnsiTheme="minorHAnsi" w:cstheme="minorHAnsi"/>
          <w:sz w:val="24"/>
          <w:szCs w:val="24"/>
        </w:rPr>
        <w:t xml:space="preserve"> (“</w:t>
      </w:r>
      <w:r w:rsidR="00E01379" w:rsidRPr="00E01379">
        <w:rPr>
          <w:rFonts w:asciiTheme="minorHAnsi" w:hAnsiTheme="minorHAnsi" w:cstheme="minorHAnsi"/>
          <w:b/>
          <w:sz w:val="24"/>
          <w:szCs w:val="24"/>
        </w:rPr>
        <w:t>Definitive Agreement</w:t>
      </w:r>
      <w:r w:rsidR="00E01379" w:rsidRPr="00E01379">
        <w:rPr>
          <w:rFonts w:asciiTheme="minorHAnsi" w:hAnsiTheme="minorHAnsi" w:cstheme="minorHAnsi"/>
          <w:sz w:val="24"/>
          <w:szCs w:val="24"/>
        </w:rPr>
        <w:t xml:space="preserve">”). </w:t>
      </w:r>
      <w:r w:rsidR="00E01379">
        <w:rPr>
          <w:rFonts w:asciiTheme="minorHAnsi" w:hAnsiTheme="minorHAnsi" w:cstheme="minorHAnsi"/>
          <w:sz w:val="24"/>
          <w:szCs w:val="24"/>
        </w:rPr>
        <w:t xml:space="preserve"> </w:t>
      </w:r>
      <w:r w:rsidR="007B33CB" w:rsidRPr="00E01379">
        <w:rPr>
          <w:rFonts w:asciiTheme="minorHAnsi" w:hAnsiTheme="minorHAnsi" w:cstheme="minorHAnsi"/>
          <w:sz w:val="24"/>
          <w:szCs w:val="24"/>
        </w:rPr>
        <w:t xml:space="preserve">Compass </w:t>
      </w:r>
      <w:r w:rsidRPr="00E01379">
        <w:rPr>
          <w:rFonts w:asciiTheme="minorHAnsi" w:hAnsiTheme="minorHAnsi" w:cstheme="minorHAnsi"/>
          <w:sz w:val="24"/>
          <w:szCs w:val="24"/>
        </w:rPr>
        <w:t>will be</w:t>
      </w:r>
      <w:r w:rsidR="007B33CB" w:rsidRPr="00E01379">
        <w:rPr>
          <w:rFonts w:asciiTheme="minorHAnsi" w:hAnsiTheme="minorHAnsi" w:cstheme="minorHAnsi"/>
          <w:sz w:val="24"/>
          <w:szCs w:val="24"/>
        </w:rPr>
        <w:t xml:space="preserve"> required to obtain shareholder approval</w:t>
      </w:r>
      <w:r w:rsidRPr="00E01379">
        <w:rPr>
          <w:rFonts w:asciiTheme="minorHAnsi" w:hAnsiTheme="minorHAnsi" w:cstheme="minorHAnsi"/>
          <w:sz w:val="24"/>
          <w:szCs w:val="24"/>
        </w:rPr>
        <w:t xml:space="preserve"> fo</w:t>
      </w:r>
      <w:r w:rsidR="00AF58A8" w:rsidRPr="00E01379">
        <w:rPr>
          <w:rFonts w:asciiTheme="minorHAnsi" w:hAnsiTheme="minorHAnsi" w:cstheme="minorHAnsi"/>
          <w:sz w:val="24"/>
          <w:szCs w:val="24"/>
        </w:rPr>
        <w:t>r the Acquisition</w:t>
      </w:r>
      <w:r w:rsidR="007B33CB" w:rsidRPr="00E01379">
        <w:rPr>
          <w:rFonts w:asciiTheme="minorHAnsi" w:hAnsiTheme="minorHAnsi" w:cstheme="minorHAnsi"/>
          <w:sz w:val="24"/>
          <w:szCs w:val="24"/>
        </w:rPr>
        <w:t xml:space="preserve">. </w:t>
      </w:r>
      <w:r w:rsidR="0081236B">
        <w:rPr>
          <w:rFonts w:asciiTheme="minorHAnsi" w:hAnsiTheme="minorHAnsi" w:cstheme="minorHAnsi"/>
          <w:sz w:val="24"/>
          <w:szCs w:val="24"/>
        </w:rPr>
        <w:t xml:space="preserve"> </w:t>
      </w:r>
      <w:r w:rsidR="007B33CB" w:rsidRPr="00E01379">
        <w:rPr>
          <w:rFonts w:asciiTheme="minorHAnsi" w:hAnsiTheme="minorHAnsi" w:cstheme="minorHAnsi"/>
          <w:sz w:val="24"/>
          <w:szCs w:val="24"/>
        </w:rPr>
        <w:t xml:space="preserve">Trading in the common shares of the Company is halted at present. It is </w:t>
      </w:r>
      <w:r w:rsidR="00AF58A8" w:rsidRPr="00E01379">
        <w:rPr>
          <w:rFonts w:asciiTheme="minorHAnsi" w:hAnsiTheme="minorHAnsi" w:cstheme="minorHAnsi"/>
          <w:sz w:val="24"/>
          <w:szCs w:val="24"/>
        </w:rPr>
        <w:t>expected</w:t>
      </w:r>
      <w:r w:rsidR="007B33CB" w:rsidRPr="00E01379">
        <w:rPr>
          <w:rFonts w:asciiTheme="minorHAnsi" w:hAnsiTheme="minorHAnsi" w:cstheme="minorHAnsi"/>
          <w:sz w:val="24"/>
          <w:szCs w:val="24"/>
        </w:rPr>
        <w:t xml:space="preserve"> that the Company's common shares will resume trading</w:t>
      </w:r>
      <w:r w:rsidR="00AF58A8" w:rsidRPr="00E01379">
        <w:rPr>
          <w:rFonts w:asciiTheme="minorHAnsi" w:hAnsiTheme="minorHAnsi" w:cstheme="minorHAnsi"/>
          <w:sz w:val="24"/>
          <w:szCs w:val="24"/>
        </w:rPr>
        <w:t>,</w:t>
      </w:r>
      <w:r w:rsidR="007B33CB" w:rsidRPr="00E01379">
        <w:rPr>
          <w:rFonts w:asciiTheme="minorHAnsi" w:hAnsiTheme="minorHAnsi" w:cstheme="minorHAnsi"/>
          <w:sz w:val="24"/>
          <w:szCs w:val="24"/>
        </w:rPr>
        <w:t xml:space="preserve"> subject to Exchange acceptance</w:t>
      </w:r>
      <w:r w:rsidR="00D93CB0">
        <w:rPr>
          <w:rFonts w:asciiTheme="minorHAnsi" w:hAnsiTheme="minorHAnsi" w:cstheme="minorHAnsi"/>
          <w:sz w:val="24"/>
          <w:szCs w:val="24"/>
        </w:rPr>
        <w:t>,</w:t>
      </w:r>
      <w:r w:rsidR="007B33CB" w:rsidRPr="00E01379">
        <w:rPr>
          <w:rFonts w:asciiTheme="minorHAnsi" w:hAnsiTheme="minorHAnsi" w:cstheme="minorHAnsi"/>
          <w:sz w:val="24"/>
          <w:szCs w:val="24"/>
        </w:rPr>
        <w:t xml:space="preserve"> among other things.</w:t>
      </w:r>
    </w:p>
    <w:p w14:paraId="1C554870" w14:textId="2988468B" w:rsidR="007B33CB" w:rsidRDefault="007B33CB" w:rsidP="00E01379">
      <w:pPr>
        <w:pStyle w:val="BodyText"/>
        <w:spacing w:before="7"/>
        <w:ind w:left="119"/>
        <w:rPr>
          <w:rFonts w:asciiTheme="minorHAnsi" w:hAnsiTheme="minorHAnsi" w:cstheme="minorHAnsi"/>
          <w:sz w:val="24"/>
          <w:szCs w:val="24"/>
        </w:rPr>
      </w:pPr>
    </w:p>
    <w:p w14:paraId="4112D4ED" w14:textId="697C2BC5" w:rsidR="00E01379" w:rsidRPr="00E01379" w:rsidRDefault="00E01379" w:rsidP="00E01379">
      <w:pPr>
        <w:pStyle w:val="BodyText"/>
        <w:ind w:left="119" w:right="117" w:hanging="1"/>
        <w:jc w:val="both"/>
        <w:rPr>
          <w:rFonts w:asciiTheme="minorHAnsi" w:hAnsiTheme="minorHAnsi" w:cstheme="minorHAnsi"/>
          <w:sz w:val="24"/>
          <w:szCs w:val="24"/>
        </w:rPr>
      </w:pPr>
      <w:r w:rsidRPr="00E01379">
        <w:rPr>
          <w:rFonts w:asciiTheme="minorHAnsi" w:hAnsiTheme="minorHAnsi" w:cstheme="minorHAnsi"/>
          <w:sz w:val="24"/>
          <w:szCs w:val="24"/>
        </w:rPr>
        <w:t xml:space="preserve">The Acquisition is not an arm's‐length transaction as insiders of Compass are insiders of MGE and directly or indirectly own both MGE Shares and shares in Compass.  In particular James Henderson and </w:t>
      </w:r>
      <w:proofErr w:type="spellStart"/>
      <w:r w:rsidRPr="00E01379">
        <w:rPr>
          <w:rFonts w:asciiTheme="minorHAnsi" w:hAnsiTheme="minorHAnsi" w:cstheme="minorHAnsi"/>
          <w:sz w:val="24"/>
          <w:szCs w:val="24"/>
        </w:rPr>
        <w:t>Madani</w:t>
      </w:r>
      <w:proofErr w:type="spellEnd"/>
      <w:r w:rsidRPr="00E01379">
        <w:rPr>
          <w:rFonts w:asciiTheme="minorHAnsi" w:hAnsiTheme="minorHAnsi" w:cstheme="minorHAnsi"/>
          <w:sz w:val="24"/>
          <w:szCs w:val="24"/>
        </w:rPr>
        <w:t xml:space="preserve"> Diallo are directors and shareholders of both Compass and MGE and Larry Phillips is a director o</w:t>
      </w:r>
      <w:r w:rsidR="00707D24">
        <w:rPr>
          <w:rFonts w:asciiTheme="minorHAnsi" w:hAnsiTheme="minorHAnsi" w:cstheme="minorHAnsi"/>
          <w:sz w:val="24"/>
          <w:szCs w:val="24"/>
        </w:rPr>
        <w:t>f</w:t>
      </w:r>
      <w:r w:rsidRPr="00E01379">
        <w:rPr>
          <w:rFonts w:asciiTheme="minorHAnsi" w:hAnsiTheme="minorHAnsi" w:cstheme="minorHAnsi"/>
          <w:sz w:val="24"/>
          <w:szCs w:val="24"/>
        </w:rPr>
        <w:t xml:space="preserve"> Compass and shareholder of both Compass and MGE.</w:t>
      </w:r>
    </w:p>
    <w:p w14:paraId="6C070DCC" w14:textId="65A93A00" w:rsidR="00E01379" w:rsidRDefault="00E01379" w:rsidP="00E01379">
      <w:pPr>
        <w:pStyle w:val="BodyText"/>
        <w:spacing w:before="7"/>
        <w:ind w:left="119"/>
        <w:rPr>
          <w:rFonts w:asciiTheme="minorHAnsi" w:hAnsiTheme="minorHAnsi" w:cstheme="minorHAnsi"/>
          <w:sz w:val="24"/>
          <w:szCs w:val="24"/>
        </w:rPr>
      </w:pPr>
    </w:p>
    <w:p w14:paraId="0EC8A85D" w14:textId="57134D9C" w:rsidR="007B33CB" w:rsidRDefault="007B33CB" w:rsidP="000A3A59">
      <w:pPr>
        <w:keepNext/>
        <w:keepLines/>
        <w:ind w:left="120"/>
        <w:jc w:val="both"/>
        <w:rPr>
          <w:rFonts w:asciiTheme="minorHAnsi" w:hAnsiTheme="minorHAnsi" w:cstheme="minorHAnsi"/>
          <w:b/>
          <w:i/>
          <w:sz w:val="24"/>
          <w:szCs w:val="24"/>
        </w:rPr>
      </w:pPr>
      <w:r w:rsidRPr="00E01379">
        <w:rPr>
          <w:rFonts w:asciiTheme="minorHAnsi" w:hAnsiTheme="minorHAnsi" w:cstheme="minorHAnsi"/>
          <w:b/>
          <w:i/>
          <w:sz w:val="24"/>
          <w:szCs w:val="24"/>
        </w:rPr>
        <w:lastRenderedPageBreak/>
        <w:t>Terms of the Acquisition</w:t>
      </w:r>
    </w:p>
    <w:p w14:paraId="1A9549B1" w14:textId="77777777" w:rsidR="00E2506D" w:rsidRPr="00E01379" w:rsidRDefault="00E2506D" w:rsidP="000A3A59">
      <w:pPr>
        <w:keepNext/>
        <w:keepLines/>
        <w:ind w:left="120"/>
        <w:jc w:val="both"/>
        <w:rPr>
          <w:rFonts w:asciiTheme="minorHAnsi" w:hAnsiTheme="minorHAnsi" w:cstheme="minorHAnsi"/>
          <w:b/>
          <w:i/>
          <w:sz w:val="24"/>
          <w:szCs w:val="24"/>
        </w:rPr>
      </w:pPr>
    </w:p>
    <w:p w14:paraId="7F4D9DB9" w14:textId="288CD32F" w:rsidR="007B33CB" w:rsidRPr="00E01379" w:rsidRDefault="001647B0" w:rsidP="000A3A59">
      <w:pPr>
        <w:pStyle w:val="BodyText"/>
        <w:keepNext/>
        <w:keepLines/>
        <w:ind w:left="119" w:right="119"/>
        <w:jc w:val="both"/>
        <w:rPr>
          <w:rFonts w:asciiTheme="minorHAnsi" w:hAnsiTheme="minorHAnsi" w:cstheme="minorHAnsi"/>
          <w:sz w:val="24"/>
          <w:szCs w:val="24"/>
        </w:rPr>
      </w:pPr>
      <w:r w:rsidRPr="00E01379">
        <w:rPr>
          <w:rFonts w:asciiTheme="minorHAnsi" w:hAnsiTheme="minorHAnsi" w:cstheme="minorHAnsi"/>
          <w:sz w:val="24"/>
          <w:szCs w:val="24"/>
        </w:rPr>
        <w:t>As part of the Acquisition, t</w:t>
      </w:r>
      <w:r w:rsidR="007B33CB" w:rsidRPr="00E01379">
        <w:rPr>
          <w:rFonts w:asciiTheme="minorHAnsi" w:hAnsiTheme="minorHAnsi" w:cstheme="minorHAnsi"/>
          <w:sz w:val="24"/>
          <w:szCs w:val="24"/>
        </w:rPr>
        <w:t xml:space="preserve">he Company will complete </w:t>
      </w:r>
      <w:bookmarkStart w:id="1" w:name="_Hlk487546268"/>
      <w:r w:rsidR="007B33CB" w:rsidRPr="00E01379">
        <w:rPr>
          <w:rFonts w:asciiTheme="minorHAnsi" w:hAnsiTheme="minorHAnsi" w:cstheme="minorHAnsi"/>
          <w:sz w:val="24"/>
          <w:szCs w:val="24"/>
        </w:rPr>
        <w:t>a 5:1 consolidation of its shares (each new share referred to herein as a "</w:t>
      </w:r>
      <w:r w:rsidR="007B33CB" w:rsidRPr="00E01379">
        <w:rPr>
          <w:rFonts w:asciiTheme="minorHAnsi" w:hAnsiTheme="minorHAnsi" w:cstheme="minorHAnsi"/>
          <w:b/>
          <w:sz w:val="24"/>
          <w:szCs w:val="24"/>
        </w:rPr>
        <w:t>Post‐Consolidation Share</w:t>
      </w:r>
      <w:r w:rsidR="007B33CB" w:rsidRPr="00E01379">
        <w:rPr>
          <w:rFonts w:asciiTheme="minorHAnsi" w:hAnsiTheme="minorHAnsi" w:cstheme="minorHAnsi"/>
          <w:sz w:val="24"/>
          <w:szCs w:val="24"/>
        </w:rPr>
        <w:t>")</w:t>
      </w:r>
      <w:r w:rsidR="004B4FC1" w:rsidRPr="00E01379">
        <w:rPr>
          <w:rFonts w:asciiTheme="minorHAnsi" w:hAnsiTheme="minorHAnsi" w:cstheme="minorHAnsi"/>
          <w:sz w:val="24"/>
          <w:szCs w:val="24"/>
        </w:rPr>
        <w:t xml:space="preserve"> and the Company will see</w:t>
      </w:r>
      <w:r w:rsidR="002A675D" w:rsidRPr="00E01379">
        <w:rPr>
          <w:rFonts w:asciiTheme="minorHAnsi" w:hAnsiTheme="minorHAnsi" w:cstheme="minorHAnsi"/>
          <w:sz w:val="24"/>
          <w:szCs w:val="24"/>
        </w:rPr>
        <w:t>k</w:t>
      </w:r>
      <w:r w:rsidR="004B4FC1" w:rsidRPr="00E01379">
        <w:rPr>
          <w:rFonts w:asciiTheme="minorHAnsi" w:hAnsiTheme="minorHAnsi" w:cstheme="minorHAnsi"/>
          <w:sz w:val="24"/>
          <w:szCs w:val="24"/>
        </w:rPr>
        <w:t xml:space="preserve"> the required approvals to be continued </w:t>
      </w:r>
      <w:r w:rsidR="003562AD">
        <w:rPr>
          <w:rFonts w:asciiTheme="minorHAnsi" w:hAnsiTheme="minorHAnsi" w:cstheme="minorHAnsi"/>
          <w:sz w:val="24"/>
          <w:szCs w:val="24"/>
        </w:rPr>
        <w:t>in</w:t>
      </w:r>
      <w:r w:rsidR="004B4FC1" w:rsidRPr="00E01379">
        <w:rPr>
          <w:rFonts w:asciiTheme="minorHAnsi" w:hAnsiTheme="minorHAnsi" w:cstheme="minorHAnsi"/>
          <w:sz w:val="24"/>
          <w:szCs w:val="24"/>
        </w:rPr>
        <w:t>to Ontario</w:t>
      </w:r>
      <w:bookmarkEnd w:id="1"/>
      <w:r w:rsidR="007B33CB" w:rsidRPr="00E01379">
        <w:rPr>
          <w:rFonts w:asciiTheme="minorHAnsi" w:hAnsiTheme="minorHAnsi" w:cstheme="minorHAnsi"/>
          <w:sz w:val="24"/>
          <w:szCs w:val="24"/>
        </w:rPr>
        <w:t>.</w:t>
      </w:r>
    </w:p>
    <w:p w14:paraId="5FA8CBC6" w14:textId="77777777" w:rsidR="007B33CB" w:rsidRPr="00E01379" w:rsidRDefault="007B33CB" w:rsidP="007B33CB">
      <w:pPr>
        <w:pStyle w:val="BodyText"/>
        <w:spacing w:before="7"/>
        <w:rPr>
          <w:rFonts w:asciiTheme="minorHAnsi" w:hAnsiTheme="minorHAnsi" w:cstheme="minorHAnsi"/>
          <w:sz w:val="24"/>
          <w:szCs w:val="24"/>
        </w:rPr>
      </w:pPr>
    </w:p>
    <w:p w14:paraId="699E57A6" w14:textId="75090B6C" w:rsidR="007B33CB" w:rsidRPr="00E01379" w:rsidRDefault="007B33CB" w:rsidP="007B33CB">
      <w:pPr>
        <w:pStyle w:val="BodyText"/>
        <w:ind w:left="119" w:right="117"/>
        <w:jc w:val="both"/>
        <w:rPr>
          <w:rFonts w:asciiTheme="minorHAnsi" w:hAnsiTheme="minorHAnsi" w:cstheme="minorHAnsi"/>
          <w:sz w:val="24"/>
          <w:szCs w:val="24"/>
        </w:rPr>
      </w:pPr>
      <w:r w:rsidRPr="00E01379">
        <w:rPr>
          <w:rFonts w:asciiTheme="minorHAnsi" w:hAnsiTheme="minorHAnsi" w:cstheme="minorHAnsi"/>
          <w:sz w:val="24"/>
          <w:szCs w:val="24"/>
        </w:rPr>
        <w:t xml:space="preserve">Pursuant to the terms of the </w:t>
      </w:r>
      <w:r w:rsidR="002A675D" w:rsidRPr="00E01379">
        <w:rPr>
          <w:rFonts w:asciiTheme="minorHAnsi" w:hAnsiTheme="minorHAnsi" w:cstheme="minorHAnsi"/>
          <w:sz w:val="24"/>
          <w:szCs w:val="24"/>
        </w:rPr>
        <w:t>Letter Agreement</w:t>
      </w:r>
      <w:r w:rsidRPr="00E01379">
        <w:rPr>
          <w:rFonts w:asciiTheme="minorHAnsi" w:hAnsiTheme="minorHAnsi" w:cstheme="minorHAnsi"/>
          <w:sz w:val="24"/>
          <w:szCs w:val="24"/>
        </w:rPr>
        <w:t xml:space="preserve">, subject to satisfaction of certain conditions, Compass will acquire the </w:t>
      </w:r>
      <w:r w:rsidR="002A675D" w:rsidRPr="00E01379">
        <w:rPr>
          <w:rFonts w:asciiTheme="minorHAnsi" w:hAnsiTheme="minorHAnsi" w:cstheme="minorHAnsi"/>
          <w:sz w:val="24"/>
          <w:szCs w:val="24"/>
        </w:rPr>
        <w:t xml:space="preserve">all the </w:t>
      </w:r>
      <w:r w:rsidRPr="00E01379">
        <w:rPr>
          <w:rFonts w:asciiTheme="minorHAnsi" w:hAnsiTheme="minorHAnsi" w:cstheme="minorHAnsi"/>
          <w:sz w:val="24"/>
          <w:szCs w:val="24"/>
        </w:rPr>
        <w:t>MGE Shares from the MGE</w:t>
      </w:r>
      <w:r w:rsidR="00C67198" w:rsidRPr="00E01379">
        <w:rPr>
          <w:rFonts w:asciiTheme="minorHAnsi" w:hAnsiTheme="minorHAnsi" w:cstheme="minorHAnsi"/>
          <w:sz w:val="24"/>
          <w:szCs w:val="24"/>
        </w:rPr>
        <w:t xml:space="preserve"> shareholders on a 0.6</w:t>
      </w:r>
      <w:r w:rsidRPr="00E01379">
        <w:rPr>
          <w:rFonts w:asciiTheme="minorHAnsi" w:hAnsiTheme="minorHAnsi" w:cstheme="minorHAnsi"/>
          <w:sz w:val="24"/>
          <w:szCs w:val="24"/>
        </w:rPr>
        <w:t xml:space="preserve">:1 basis, which would result in the issuance of an aggregate of </w:t>
      </w:r>
      <w:r w:rsidR="00C67198" w:rsidRPr="00E01379">
        <w:rPr>
          <w:rFonts w:asciiTheme="minorHAnsi" w:hAnsiTheme="minorHAnsi" w:cstheme="minorHAnsi"/>
          <w:sz w:val="24"/>
          <w:szCs w:val="24"/>
        </w:rPr>
        <w:t>12,000,000</w:t>
      </w:r>
      <w:r w:rsidRPr="00E01379">
        <w:rPr>
          <w:rFonts w:asciiTheme="minorHAnsi" w:hAnsiTheme="minorHAnsi" w:cstheme="minorHAnsi"/>
          <w:sz w:val="24"/>
          <w:szCs w:val="24"/>
        </w:rPr>
        <w:t xml:space="preserve"> Post‐Consolidation Shares based on the current number of outstanding MGE Shares. </w:t>
      </w:r>
      <w:r w:rsidR="00704714" w:rsidRPr="00E01379">
        <w:rPr>
          <w:rFonts w:asciiTheme="minorHAnsi" w:hAnsiTheme="minorHAnsi" w:cstheme="minorHAnsi"/>
          <w:sz w:val="24"/>
          <w:szCs w:val="24"/>
        </w:rPr>
        <w:t xml:space="preserve"> </w:t>
      </w:r>
      <w:r w:rsidRPr="00E01379">
        <w:rPr>
          <w:rFonts w:asciiTheme="minorHAnsi" w:hAnsiTheme="minorHAnsi" w:cstheme="minorHAnsi"/>
          <w:sz w:val="24"/>
          <w:szCs w:val="24"/>
        </w:rPr>
        <w:t>MGE currently has no other securities outstanding.</w:t>
      </w:r>
      <w:r w:rsidR="00357D69" w:rsidRPr="00E01379">
        <w:rPr>
          <w:rFonts w:asciiTheme="minorHAnsi" w:hAnsiTheme="minorHAnsi" w:cstheme="minorHAnsi"/>
          <w:sz w:val="24"/>
          <w:szCs w:val="24"/>
        </w:rPr>
        <w:t xml:space="preserve">  Compass h</w:t>
      </w:r>
      <w:r w:rsidR="00F91E66" w:rsidRPr="00E01379">
        <w:rPr>
          <w:rFonts w:asciiTheme="minorHAnsi" w:hAnsiTheme="minorHAnsi" w:cstheme="minorHAnsi"/>
          <w:sz w:val="24"/>
          <w:szCs w:val="24"/>
        </w:rPr>
        <w:t>as also agreed to pay up to $5</w:t>
      </w:r>
      <w:r w:rsidR="00357D69" w:rsidRPr="00E01379">
        <w:rPr>
          <w:rFonts w:asciiTheme="minorHAnsi" w:hAnsiTheme="minorHAnsi" w:cstheme="minorHAnsi"/>
          <w:sz w:val="24"/>
          <w:szCs w:val="24"/>
        </w:rPr>
        <w:t>0,000 in transaction costs incurre</w:t>
      </w:r>
      <w:r w:rsidR="00761EE1">
        <w:rPr>
          <w:rFonts w:asciiTheme="minorHAnsi" w:hAnsiTheme="minorHAnsi" w:cstheme="minorHAnsi"/>
          <w:sz w:val="24"/>
          <w:szCs w:val="24"/>
        </w:rPr>
        <w:t>d</w:t>
      </w:r>
      <w:r w:rsidR="00357D69" w:rsidRPr="00E01379">
        <w:rPr>
          <w:rFonts w:asciiTheme="minorHAnsi" w:hAnsiTheme="minorHAnsi" w:cstheme="minorHAnsi"/>
          <w:sz w:val="24"/>
          <w:szCs w:val="24"/>
        </w:rPr>
        <w:t xml:space="preserve"> by MGE or MGE Shareholders in connection with the Acquisition.</w:t>
      </w:r>
    </w:p>
    <w:p w14:paraId="357C6E9F" w14:textId="77777777" w:rsidR="007B33CB" w:rsidRPr="00E01379" w:rsidRDefault="007B33CB" w:rsidP="007B33CB">
      <w:pPr>
        <w:pStyle w:val="BodyText"/>
        <w:rPr>
          <w:rFonts w:asciiTheme="minorHAnsi" w:hAnsiTheme="minorHAnsi" w:cstheme="minorHAnsi"/>
          <w:sz w:val="24"/>
          <w:szCs w:val="24"/>
        </w:rPr>
      </w:pPr>
    </w:p>
    <w:p w14:paraId="67EBF781" w14:textId="3E606D59" w:rsidR="007B33CB" w:rsidRPr="00E01379" w:rsidRDefault="007B33CB" w:rsidP="00496DF4">
      <w:pPr>
        <w:pStyle w:val="BodyText"/>
        <w:ind w:left="119" w:right="117"/>
        <w:jc w:val="both"/>
        <w:rPr>
          <w:rFonts w:asciiTheme="minorHAnsi" w:hAnsiTheme="minorHAnsi" w:cstheme="minorHAnsi"/>
          <w:sz w:val="24"/>
          <w:szCs w:val="24"/>
        </w:rPr>
      </w:pPr>
      <w:r w:rsidRPr="00E01379">
        <w:rPr>
          <w:rFonts w:asciiTheme="minorHAnsi" w:hAnsiTheme="minorHAnsi" w:cstheme="minorHAnsi"/>
          <w:sz w:val="24"/>
          <w:szCs w:val="24"/>
        </w:rPr>
        <w:t>The Post‐Consolidation Shares to be issued to the MGE shareholders under the Acquisition will be subject to any restrictions on resale, including escrow restrictions, imposed by applicable laws and the Exchange.</w:t>
      </w:r>
    </w:p>
    <w:p w14:paraId="62830A98" w14:textId="3C51002A" w:rsidR="007B33CB" w:rsidRDefault="007B33CB" w:rsidP="00496DF4">
      <w:pPr>
        <w:pStyle w:val="BodyText"/>
        <w:ind w:left="119" w:right="117"/>
        <w:jc w:val="both"/>
        <w:rPr>
          <w:rFonts w:asciiTheme="minorHAnsi" w:hAnsiTheme="minorHAnsi" w:cstheme="minorHAnsi"/>
          <w:sz w:val="24"/>
          <w:szCs w:val="24"/>
        </w:rPr>
      </w:pPr>
    </w:p>
    <w:p w14:paraId="15F9228F" w14:textId="6C38D3FB" w:rsidR="00496DF4" w:rsidRDefault="00496DF4" w:rsidP="00496DF4">
      <w:pPr>
        <w:ind w:left="120"/>
        <w:jc w:val="both"/>
        <w:rPr>
          <w:rFonts w:asciiTheme="minorHAnsi" w:hAnsiTheme="minorHAnsi" w:cstheme="minorHAnsi"/>
          <w:b/>
          <w:i/>
          <w:sz w:val="24"/>
          <w:szCs w:val="24"/>
        </w:rPr>
      </w:pPr>
      <w:r>
        <w:rPr>
          <w:rFonts w:asciiTheme="minorHAnsi" w:hAnsiTheme="minorHAnsi" w:cstheme="minorHAnsi"/>
          <w:b/>
          <w:i/>
          <w:sz w:val="24"/>
          <w:szCs w:val="24"/>
        </w:rPr>
        <w:t>Conditions Precedent</w:t>
      </w:r>
    </w:p>
    <w:p w14:paraId="5B29255D" w14:textId="77777777" w:rsidR="00E2506D" w:rsidRPr="00E01379" w:rsidRDefault="00E2506D" w:rsidP="00496DF4">
      <w:pPr>
        <w:ind w:left="120"/>
        <w:jc w:val="both"/>
        <w:rPr>
          <w:rFonts w:asciiTheme="minorHAnsi" w:hAnsiTheme="minorHAnsi" w:cstheme="minorHAnsi"/>
          <w:b/>
          <w:i/>
          <w:sz w:val="24"/>
          <w:szCs w:val="24"/>
        </w:rPr>
      </w:pPr>
    </w:p>
    <w:p w14:paraId="7CACB15A" w14:textId="191D5A04" w:rsidR="00496DF4" w:rsidRDefault="00496DF4" w:rsidP="00707D24">
      <w:pPr>
        <w:pStyle w:val="BodyText"/>
        <w:spacing w:after="120"/>
        <w:ind w:left="119" w:right="119"/>
        <w:jc w:val="both"/>
        <w:rPr>
          <w:rFonts w:asciiTheme="minorHAnsi" w:hAnsiTheme="minorHAnsi" w:cstheme="minorHAnsi"/>
          <w:sz w:val="24"/>
          <w:szCs w:val="24"/>
        </w:rPr>
      </w:pPr>
      <w:r w:rsidRPr="00496DF4">
        <w:rPr>
          <w:rFonts w:asciiTheme="minorHAnsi" w:hAnsiTheme="minorHAnsi" w:cstheme="minorHAnsi"/>
          <w:sz w:val="24"/>
          <w:szCs w:val="24"/>
        </w:rPr>
        <w:t xml:space="preserve">The parties’ obligations are subject to the satisfaction of the usual conditions precedent to a transaction such as the </w:t>
      </w:r>
      <w:r>
        <w:rPr>
          <w:rFonts w:asciiTheme="minorHAnsi" w:hAnsiTheme="minorHAnsi" w:cstheme="minorHAnsi"/>
          <w:sz w:val="24"/>
          <w:szCs w:val="24"/>
        </w:rPr>
        <w:t>Acquisition</w:t>
      </w:r>
      <w:r w:rsidRPr="00496DF4">
        <w:rPr>
          <w:rFonts w:asciiTheme="minorHAnsi" w:hAnsiTheme="minorHAnsi" w:cstheme="minorHAnsi"/>
          <w:sz w:val="24"/>
          <w:szCs w:val="24"/>
        </w:rPr>
        <w:t xml:space="preserve">, including: </w:t>
      </w:r>
    </w:p>
    <w:p w14:paraId="08D5A0EE" w14:textId="77777777" w:rsidR="00496DF4" w:rsidRDefault="00496DF4" w:rsidP="00707D24">
      <w:pPr>
        <w:pStyle w:val="BodyText"/>
        <w:numPr>
          <w:ilvl w:val="0"/>
          <w:numId w:val="3"/>
        </w:numPr>
        <w:spacing w:after="120"/>
        <w:ind w:right="119"/>
        <w:jc w:val="both"/>
        <w:rPr>
          <w:rFonts w:asciiTheme="minorHAnsi" w:hAnsiTheme="minorHAnsi" w:cstheme="minorHAnsi"/>
          <w:sz w:val="24"/>
          <w:szCs w:val="24"/>
        </w:rPr>
      </w:pPr>
      <w:r w:rsidRPr="00496DF4">
        <w:rPr>
          <w:rFonts w:asciiTheme="minorHAnsi" w:hAnsiTheme="minorHAnsi" w:cstheme="minorHAnsi"/>
          <w:sz w:val="24"/>
          <w:szCs w:val="24"/>
        </w:rPr>
        <w:t xml:space="preserve">the Special Committee recommending approval of the </w:t>
      </w:r>
      <w:r>
        <w:rPr>
          <w:rFonts w:asciiTheme="minorHAnsi" w:hAnsiTheme="minorHAnsi" w:cstheme="minorHAnsi"/>
          <w:sz w:val="24"/>
          <w:szCs w:val="24"/>
        </w:rPr>
        <w:t>Acquisition</w:t>
      </w:r>
      <w:r w:rsidRPr="00496DF4">
        <w:rPr>
          <w:rFonts w:asciiTheme="minorHAnsi" w:hAnsiTheme="minorHAnsi" w:cstheme="minorHAnsi"/>
          <w:sz w:val="24"/>
          <w:szCs w:val="24"/>
        </w:rPr>
        <w:t xml:space="preserve"> by the Board and the Company entering into a Definitive Agreement within </w:t>
      </w:r>
      <w:r>
        <w:rPr>
          <w:rFonts w:asciiTheme="minorHAnsi" w:hAnsiTheme="minorHAnsi" w:cstheme="minorHAnsi"/>
          <w:sz w:val="24"/>
          <w:szCs w:val="24"/>
        </w:rPr>
        <w:t>1</w:t>
      </w:r>
      <w:r w:rsidRPr="00496DF4">
        <w:rPr>
          <w:rFonts w:asciiTheme="minorHAnsi" w:hAnsiTheme="minorHAnsi" w:cstheme="minorHAnsi"/>
          <w:sz w:val="24"/>
          <w:szCs w:val="24"/>
        </w:rPr>
        <w:t xml:space="preserve">4 days of the date of the Letter Agreement; </w:t>
      </w:r>
    </w:p>
    <w:p w14:paraId="6887F09C" w14:textId="1317C36A" w:rsidR="00496DF4" w:rsidRDefault="00496DF4" w:rsidP="00707D24">
      <w:pPr>
        <w:pStyle w:val="BodyText"/>
        <w:numPr>
          <w:ilvl w:val="0"/>
          <w:numId w:val="3"/>
        </w:numPr>
        <w:spacing w:after="120"/>
        <w:ind w:right="119"/>
        <w:jc w:val="both"/>
        <w:rPr>
          <w:rFonts w:asciiTheme="minorHAnsi" w:hAnsiTheme="minorHAnsi" w:cstheme="minorHAnsi"/>
          <w:sz w:val="24"/>
          <w:szCs w:val="24"/>
        </w:rPr>
      </w:pPr>
      <w:r w:rsidRPr="00496DF4">
        <w:rPr>
          <w:rFonts w:asciiTheme="minorHAnsi" w:hAnsiTheme="minorHAnsi" w:cstheme="minorHAnsi"/>
          <w:sz w:val="24"/>
          <w:szCs w:val="24"/>
        </w:rPr>
        <w:t xml:space="preserve">the completion of due diligence investigations by Compass in respect of </w:t>
      </w:r>
      <w:r>
        <w:rPr>
          <w:rFonts w:asciiTheme="minorHAnsi" w:hAnsiTheme="minorHAnsi" w:cstheme="minorHAnsi"/>
          <w:sz w:val="24"/>
          <w:szCs w:val="24"/>
        </w:rPr>
        <w:t>MGE</w:t>
      </w:r>
      <w:r w:rsidRPr="00496DF4">
        <w:rPr>
          <w:rFonts w:asciiTheme="minorHAnsi" w:hAnsiTheme="minorHAnsi" w:cstheme="minorHAnsi"/>
          <w:sz w:val="24"/>
          <w:szCs w:val="24"/>
        </w:rPr>
        <w:t xml:space="preserve">, and </w:t>
      </w:r>
      <w:r>
        <w:rPr>
          <w:rFonts w:asciiTheme="minorHAnsi" w:hAnsiTheme="minorHAnsi" w:cstheme="minorHAnsi"/>
          <w:sz w:val="24"/>
          <w:szCs w:val="24"/>
        </w:rPr>
        <w:t>MGE</w:t>
      </w:r>
      <w:r w:rsidRPr="00496DF4">
        <w:rPr>
          <w:rFonts w:asciiTheme="minorHAnsi" w:hAnsiTheme="minorHAnsi" w:cstheme="minorHAnsi"/>
          <w:sz w:val="24"/>
          <w:szCs w:val="24"/>
        </w:rPr>
        <w:t xml:space="preserve"> in respect of Compass, to their </w:t>
      </w:r>
      <w:r>
        <w:rPr>
          <w:rFonts w:asciiTheme="minorHAnsi" w:hAnsiTheme="minorHAnsi" w:cstheme="minorHAnsi"/>
          <w:sz w:val="24"/>
          <w:szCs w:val="24"/>
        </w:rPr>
        <w:t>sole and absolute satisfactions</w:t>
      </w:r>
      <w:r w:rsidRPr="00496DF4">
        <w:rPr>
          <w:rFonts w:asciiTheme="minorHAnsi" w:hAnsiTheme="minorHAnsi" w:cstheme="minorHAnsi"/>
          <w:sz w:val="24"/>
          <w:szCs w:val="24"/>
        </w:rPr>
        <w:t xml:space="preserve">; </w:t>
      </w:r>
    </w:p>
    <w:p w14:paraId="5BDC49CA" w14:textId="01D7910B" w:rsidR="00707D24" w:rsidRDefault="00496DF4" w:rsidP="00707D24">
      <w:pPr>
        <w:pStyle w:val="BodyText"/>
        <w:numPr>
          <w:ilvl w:val="0"/>
          <w:numId w:val="3"/>
        </w:numPr>
        <w:spacing w:after="120"/>
        <w:ind w:right="119"/>
        <w:jc w:val="both"/>
        <w:rPr>
          <w:rFonts w:asciiTheme="minorHAnsi" w:hAnsiTheme="minorHAnsi" w:cstheme="minorHAnsi"/>
          <w:sz w:val="24"/>
          <w:szCs w:val="24"/>
        </w:rPr>
      </w:pPr>
      <w:r>
        <w:rPr>
          <w:sz w:val="23"/>
          <w:szCs w:val="23"/>
        </w:rPr>
        <w:t>Compass</w:t>
      </w:r>
      <w:r w:rsidRPr="000D438D">
        <w:rPr>
          <w:sz w:val="23"/>
          <w:szCs w:val="23"/>
        </w:rPr>
        <w:t xml:space="preserve"> having either closed a minimum C$5,000,000 private placement </w:t>
      </w:r>
      <w:r w:rsidR="003770F6">
        <w:rPr>
          <w:sz w:val="23"/>
          <w:szCs w:val="23"/>
        </w:rPr>
        <w:t xml:space="preserve">(up to a maximum C$6,000,000) </w:t>
      </w:r>
      <w:r w:rsidRPr="000D438D">
        <w:rPr>
          <w:sz w:val="23"/>
          <w:szCs w:val="23"/>
        </w:rPr>
        <w:t xml:space="preserve">or secured an unconditional underwriting for a minimum C$5,000,000 </w:t>
      </w:r>
      <w:r w:rsidR="003770F6">
        <w:rPr>
          <w:sz w:val="23"/>
          <w:szCs w:val="23"/>
        </w:rPr>
        <w:t xml:space="preserve">private placement, to be closed concurrently with the closing of the </w:t>
      </w:r>
      <w:r w:rsidR="003735E6">
        <w:rPr>
          <w:sz w:val="23"/>
          <w:szCs w:val="23"/>
        </w:rPr>
        <w:t>Acquisition;</w:t>
      </w:r>
    </w:p>
    <w:p w14:paraId="522AAA24" w14:textId="7F9233C3" w:rsidR="00707D24" w:rsidRDefault="00707D24" w:rsidP="00707D24">
      <w:pPr>
        <w:pStyle w:val="BodyText"/>
        <w:numPr>
          <w:ilvl w:val="0"/>
          <w:numId w:val="3"/>
        </w:numPr>
        <w:spacing w:after="120"/>
        <w:ind w:right="119"/>
        <w:jc w:val="both"/>
        <w:rPr>
          <w:rFonts w:asciiTheme="minorHAnsi" w:hAnsiTheme="minorHAnsi" w:cstheme="minorHAnsi"/>
          <w:sz w:val="24"/>
          <w:szCs w:val="24"/>
        </w:rPr>
      </w:pPr>
      <w:r w:rsidRPr="000D438D">
        <w:rPr>
          <w:sz w:val="23"/>
          <w:szCs w:val="23"/>
        </w:rPr>
        <w:t xml:space="preserve">consents being obtained from all third parties that are necessary to complete the </w:t>
      </w:r>
      <w:r>
        <w:rPr>
          <w:sz w:val="23"/>
          <w:szCs w:val="23"/>
        </w:rPr>
        <w:t>Acquisition</w:t>
      </w:r>
      <w:r w:rsidRPr="000D438D">
        <w:rPr>
          <w:sz w:val="23"/>
          <w:szCs w:val="23"/>
        </w:rPr>
        <w:t xml:space="preserve">, including without limitation, receiving all necessary </w:t>
      </w:r>
      <w:r w:rsidR="007A7C39">
        <w:rPr>
          <w:sz w:val="23"/>
          <w:szCs w:val="23"/>
        </w:rPr>
        <w:t xml:space="preserve">approvals from </w:t>
      </w:r>
      <w:r>
        <w:rPr>
          <w:sz w:val="23"/>
          <w:szCs w:val="23"/>
        </w:rPr>
        <w:t>Compass</w:t>
      </w:r>
      <w:r w:rsidRPr="000D438D">
        <w:rPr>
          <w:sz w:val="23"/>
          <w:szCs w:val="23"/>
        </w:rPr>
        <w:t xml:space="preserve"> shareholder</w:t>
      </w:r>
      <w:r w:rsidR="007A7C39">
        <w:rPr>
          <w:sz w:val="23"/>
          <w:szCs w:val="23"/>
        </w:rPr>
        <w:t>s</w:t>
      </w:r>
      <w:r w:rsidRPr="000D438D">
        <w:rPr>
          <w:sz w:val="23"/>
          <w:szCs w:val="23"/>
        </w:rPr>
        <w:t xml:space="preserve">, the TSXV, and </w:t>
      </w:r>
      <w:r>
        <w:rPr>
          <w:sz w:val="23"/>
          <w:szCs w:val="23"/>
        </w:rPr>
        <w:t>MGE</w:t>
      </w:r>
      <w:r w:rsidRPr="000D438D">
        <w:rPr>
          <w:sz w:val="23"/>
          <w:szCs w:val="23"/>
        </w:rPr>
        <w:t xml:space="preserve"> Shareholders </w:t>
      </w:r>
      <w:r w:rsidR="007A7C39">
        <w:rPr>
          <w:sz w:val="23"/>
          <w:szCs w:val="23"/>
        </w:rPr>
        <w:t xml:space="preserve">to </w:t>
      </w:r>
      <w:r w:rsidRPr="000D438D">
        <w:rPr>
          <w:sz w:val="23"/>
          <w:szCs w:val="23"/>
        </w:rPr>
        <w:t>the Transaction (including the requirement for any independent report, independent valuations or the Special Committee)</w:t>
      </w:r>
      <w:r w:rsidR="00496DF4" w:rsidRPr="00707D24">
        <w:rPr>
          <w:rFonts w:asciiTheme="minorHAnsi" w:hAnsiTheme="minorHAnsi" w:cstheme="minorHAnsi"/>
          <w:sz w:val="24"/>
          <w:szCs w:val="24"/>
        </w:rPr>
        <w:t xml:space="preserve">; and </w:t>
      </w:r>
    </w:p>
    <w:p w14:paraId="683773DE" w14:textId="20122EA0" w:rsidR="00496DF4" w:rsidRPr="00707D24" w:rsidRDefault="00496DF4" w:rsidP="002873DA">
      <w:pPr>
        <w:pStyle w:val="BodyText"/>
        <w:numPr>
          <w:ilvl w:val="0"/>
          <w:numId w:val="3"/>
        </w:numPr>
        <w:ind w:right="119"/>
        <w:jc w:val="both"/>
        <w:rPr>
          <w:rFonts w:asciiTheme="minorHAnsi" w:hAnsiTheme="minorHAnsi" w:cstheme="minorHAnsi"/>
          <w:sz w:val="24"/>
          <w:szCs w:val="24"/>
        </w:rPr>
      </w:pPr>
      <w:r w:rsidRPr="00707D24">
        <w:rPr>
          <w:rFonts w:asciiTheme="minorHAnsi" w:hAnsiTheme="minorHAnsi" w:cstheme="minorHAnsi"/>
          <w:sz w:val="24"/>
          <w:szCs w:val="24"/>
        </w:rPr>
        <w:t xml:space="preserve">no material adverse changes in the financial condition, assets or liabilities (contingent </w:t>
      </w:r>
      <w:r w:rsidR="00707D24">
        <w:rPr>
          <w:rFonts w:asciiTheme="minorHAnsi" w:hAnsiTheme="minorHAnsi" w:cstheme="minorHAnsi"/>
          <w:sz w:val="24"/>
          <w:szCs w:val="24"/>
        </w:rPr>
        <w:t>or otherwise) of either Compass or MGE</w:t>
      </w:r>
      <w:r w:rsidRPr="00707D24">
        <w:rPr>
          <w:rFonts w:asciiTheme="minorHAnsi" w:hAnsiTheme="minorHAnsi" w:cstheme="minorHAnsi"/>
          <w:sz w:val="24"/>
          <w:szCs w:val="24"/>
        </w:rPr>
        <w:t>.</w:t>
      </w:r>
    </w:p>
    <w:p w14:paraId="66A77CD8" w14:textId="77777777" w:rsidR="00496DF4" w:rsidRPr="00496DF4" w:rsidRDefault="00496DF4" w:rsidP="00496DF4">
      <w:pPr>
        <w:pStyle w:val="BodyText"/>
        <w:ind w:left="119" w:right="117"/>
        <w:jc w:val="both"/>
        <w:rPr>
          <w:rFonts w:asciiTheme="minorHAnsi" w:hAnsiTheme="minorHAnsi" w:cstheme="minorHAnsi"/>
          <w:sz w:val="24"/>
          <w:szCs w:val="24"/>
        </w:rPr>
      </w:pPr>
    </w:p>
    <w:p w14:paraId="0E49B511" w14:textId="548B5140" w:rsidR="00707D24" w:rsidRDefault="00707D24" w:rsidP="000A3A59">
      <w:pPr>
        <w:keepNext/>
        <w:keepLines/>
        <w:ind w:left="115"/>
        <w:jc w:val="both"/>
        <w:rPr>
          <w:rFonts w:asciiTheme="minorHAnsi" w:hAnsiTheme="minorHAnsi" w:cstheme="minorHAnsi"/>
          <w:b/>
          <w:i/>
          <w:sz w:val="24"/>
          <w:szCs w:val="24"/>
        </w:rPr>
      </w:pPr>
      <w:r>
        <w:rPr>
          <w:rFonts w:asciiTheme="minorHAnsi" w:hAnsiTheme="minorHAnsi" w:cstheme="minorHAnsi"/>
          <w:b/>
          <w:i/>
          <w:sz w:val="24"/>
          <w:szCs w:val="24"/>
        </w:rPr>
        <w:t>Proposed Board and Management Changes</w:t>
      </w:r>
    </w:p>
    <w:p w14:paraId="7FB8F6BD" w14:textId="77777777" w:rsidR="00E2506D" w:rsidRPr="00E01379" w:rsidRDefault="00E2506D" w:rsidP="000A3A59">
      <w:pPr>
        <w:keepNext/>
        <w:keepLines/>
        <w:ind w:left="120"/>
        <w:jc w:val="both"/>
        <w:rPr>
          <w:rFonts w:asciiTheme="minorHAnsi" w:hAnsiTheme="minorHAnsi" w:cstheme="minorHAnsi"/>
          <w:b/>
          <w:i/>
          <w:sz w:val="24"/>
          <w:szCs w:val="24"/>
        </w:rPr>
      </w:pPr>
    </w:p>
    <w:p w14:paraId="583A574A" w14:textId="112279E0" w:rsidR="007B33CB" w:rsidRDefault="007B33CB" w:rsidP="000A3A59">
      <w:pPr>
        <w:pStyle w:val="BodyText"/>
        <w:keepNext/>
        <w:keepLines/>
        <w:ind w:left="119" w:right="119" w:hanging="1"/>
        <w:jc w:val="both"/>
        <w:rPr>
          <w:rFonts w:asciiTheme="minorHAnsi" w:hAnsiTheme="minorHAnsi" w:cstheme="minorHAnsi"/>
          <w:sz w:val="24"/>
          <w:szCs w:val="24"/>
        </w:rPr>
      </w:pPr>
      <w:r w:rsidRPr="00E01379">
        <w:rPr>
          <w:rFonts w:asciiTheme="minorHAnsi" w:hAnsiTheme="minorHAnsi" w:cstheme="minorHAnsi"/>
          <w:sz w:val="24"/>
          <w:szCs w:val="24"/>
        </w:rPr>
        <w:t xml:space="preserve">On the completion of the </w:t>
      </w:r>
      <w:r w:rsidR="00F91E66" w:rsidRPr="00E01379">
        <w:rPr>
          <w:rFonts w:asciiTheme="minorHAnsi" w:hAnsiTheme="minorHAnsi" w:cstheme="minorHAnsi"/>
          <w:sz w:val="24"/>
          <w:szCs w:val="24"/>
        </w:rPr>
        <w:t>Acquisition</w:t>
      </w:r>
      <w:r w:rsidRPr="00E01379">
        <w:rPr>
          <w:rFonts w:asciiTheme="minorHAnsi" w:hAnsiTheme="minorHAnsi" w:cstheme="minorHAnsi"/>
          <w:sz w:val="24"/>
          <w:szCs w:val="24"/>
        </w:rPr>
        <w:t xml:space="preserve">, </w:t>
      </w:r>
      <w:r w:rsidR="00707D24">
        <w:rPr>
          <w:rFonts w:asciiTheme="minorHAnsi" w:hAnsiTheme="minorHAnsi" w:cstheme="minorHAnsi"/>
          <w:sz w:val="24"/>
          <w:szCs w:val="24"/>
        </w:rPr>
        <w:t xml:space="preserve">it is proposed that Malcom Carson and Lara </w:t>
      </w:r>
      <w:proofErr w:type="spellStart"/>
      <w:r w:rsidR="00707D24">
        <w:rPr>
          <w:rFonts w:asciiTheme="minorHAnsi" w:hAnsiTheme="minorHAnsi" w:cstheme="minorHAnsi"/>
          <w:sz w:val="24"/>
          <w:szCs w:val="24"/>
        </w:rPr>
        <w:t>Iacusso</w:t>
      </w:r>
      <w:proofErr w:type="spellEnd"/>
      <w:r w:rsidR="00707D24">
        <w:rPr>
          <w:rFonts w:asciiTheme="minorHAnsi" w:hAnsiTheme="minorHAnsi" w:cstheme="minorHAnsi"/>
          <w:sz w:val="24"/>
          <w:szCs w:val="24"/>
        </w:rPr>
        <w:t xml:space="preserve"> resign from the Board </w:t>
      </w:r>
      <w:r w:rsidR="003562AD">
        <w:rPr>
          <w:rFonts w:asciiTheme="minorHAnsi" w:hAnsiTheme="minorHAnsi" w:cstheme="minorHAnsi"/>
          <w:sz w:val="24"/>
          <w:szCs w:val="24"/>
        </w:rPr>
        <w:t xml:space="preserve">of </w:t>
      </w:r>
      <w:r w:rsidR="00707D24">
        <w:rPr>
          <w:rFonts w:asciiTheme="minorHAnsi" w:hAnsiTheme="minorHAnsi" w:cstheme="minorHAnsi"/>
          <w:sz w:val="24"/>
          <w:szCs w:val="24"/>
        </w:rPr>
        <w:t>Compass and Bill Pug</w:t>
      </w:r>
      <w:r w:rsidR="00553445">
        <w:rPr>
          <w:rFonts w:asciiTheme="minorHAnsi" w:hAnsiTheme="minorHAnsi" w:cstheme="minorHAnsi"/>
          <w:sz w:val="24"/>
          <w:szCs w:val="24"/>
        </w:rPr>
        <w:t>l</w:t>
      </w:r>
      <w:r w:rsidR="00707D24">
        <w:rPr>
          <w:rFonts w:asciiTheme="minorHAnsi" w:hAnsiTheme="minorHAnsi" w:cstheme="minorHAnsi"/>
          <w:sz w:val="24"/>
          <w:szCs w:val="24"/>
        </w:rPr>
        <w:t xml:space="preserve">iese and Joe Conway be appointed.  It is also proposed that Larry Phillips will be appointed as </w:t>
      </w:r>
      <w:r w:rsidR="00707D24" w:rsidRPr="00E01379">
        <w:rPr>
          <w:rFonts w:asciiTheme="minorHAnsi" w:hAnsiTheme="minorHAnsi" w:cstheme="minorHAnsi"/>
          <w:sz w:val="24"/>
          <w:szCs w:val="24"/>
        </w:rPr>
        <w:t xml:space="preserve">President and Chief Executive Officer </w:t>
      </w:r>
      <w:r w:rsidR="00707D24">
        <w:rPr>
          <w:rFonts w:asciiTheme="minorHAnsi" w:hAnsiTheme="minorHAnsi" w:cstheme="minorHAnsi"/>
          <w:sz w:val="24"/>
          <w:szCs w:val="24"/>
        </w:rPr>
        <w:t>of Compass.</w:t>
      </w:r>
    </w:p>
    <w:p w14:paraId="3BF176B8" w14:textId="39644178" w:rsidR="00707D24" w:rsidRDefault="00707D24" w:rsidP="007B33CB">
      <w:pPr>
        <w:pStyle w:val="BodyText"/>
        <w:ind w:left="119" w:right="119" w:hanging="1"/>
        <w:jc w:val="both"/>
        <w:rPr>
          <w:rFonts w:asciiTheme="minorHAnsi" w:hAnsiTheme="minorHAnsi" w:cstheme="minorHAnsi"/>
          <w:sz w:val="24"/>
          <w:szCs w:val="24"/>
        </w:rPr>
      </w:pPr>
    </w:p>
    <w:p w14:paraId="413B01BF" w14:textId="77777777" w:rsidR="002873DA" w:rsidRDefault="002873DA" w:rsidP="007B33CB">
      <w:pPr>
        <w:pStyle w:val="BodyText"/>
        <w:ind w:left="119" w:right="119" w:hanging="1"/>
        <w:jc w:val="both"/>
        <w:rPr>
          <w:rFonts w:asciiTheme="minorHAnsi" w:hAnsiTheme="minorHAnsi" w:cstheme="minorHAnsi"/>
          <w:sz w:val="24"/>
          <w:szCs w:val="24"/>
        </w:rPr>
      </w:pPr>
    </w:p>
    <w:p w14:paraId="56305D27" w14:textId="1937B3D9" w:rsidR="00707D24" w:rsidRDefault="004122F0" w:rsidP="007B33CB">
      <w:pPr>
        <w:pStyle w:val="BodyText"/>
        <w:ind w:left="119" w:right="119" w:hanging="1"/>
        <w:jc w:val="both"/>
        <w:rPr>
          <w:rFonts w:asciiTheme="minorHAnsi" w:hAnsiTheme="minorHAnsi" w:cstheme="minorHAnsi"/>
          <w:sz w:val="24"/>
          <w:szCs w:val="24"/>
        </w:rPr>
      </w:pPr>
      <w:r>
        <w:rPr>
          <w:rFonts w:asciiTheme="minorHAnsi" w:hAnsiTheme="minorHAnsi" w:cstheme="minorHAnsi"/>
          <w:sz w:val="24"/>
          <w:szCs w:val="24"/>
        </w:rPr>
        <w:lastRenderedPageBreak/>
        <w:t>Larry Phi</w:t>
      </w:r>
      <w:r w:rsidR="00D93CB0">
        <w:rPr>
          <w:rFonts w:asciiTheme="minorHAnsi" w:hAnsiTheme="minorHAnsi" w:cstheme="minorHAnsi"/>
          <w:sz w:val="24"/>
          <w:szCs w:val="24"/>
        </w:rPr>
        <w:t>l</w:t>
      </w:r>
      <w:r>
        <w:rPr>
          <w:rFonts w:asciiTheme="minorHAnsi" w:hAnsiTheme="minorHAnsi" w:cstheme="minorHAnsi"/>
          <w:sz w:val="24"/>
          <w:szCs w:val="24"/>
        </w:rPr>
        <w:t xml:space="preserve">lips, Joe Conway and Bill Pugliese were the founders and </w:t>
      </w:r>
      <w:r w:rsidR="00C6155B">
        <w:rPr>
          <w:rFonts w:asciiTheme="minorHAnsi" w:hAnsiTheme="minorHAnsi" w:cstheme="minorHAnsi"/>
          <w:sz w:val="24"/>
          <w:szCs w:val="24"/>
        </w:rPr>
        <w:t xml:space="preserve">members of the </w:t>
      </w:r>
      <w:r w:rsidR="0089575E">
        <w:rPr>
          <w:rFonts w:asciiTheme="minorHAnsi" w:hAnsiTheme="minorHAnsi" w:cstheme="minorHAnsi"/>
          <w:sz w:val="24"/>
          <w:szCs w:val="24"/>
        </w:rPr>
        <w:t>senior</w:t>
      </w:r>
      <w:r>
        <w:rPr>
          <w:rFonts w:asciiTheme="minorHAnsi" w:hAnsiTheme="minorHAnsi" w:cstheme="minorHAnsi"/>
          <w:sz w:val="24"/>
          <w:szCs w:val="24"/>
        </w:rPr>
        <w:t xml:space="preserve"> management team of </w:t>
      </w:r>
      <w:proofErr w:type="spellStart"/>
      <w:r>
        <w:rPr>
          <w:rFonts w:asciiTheme="minorHAnsi" w:hAnsiTheme="minorHAnsi" w:cstheme="minorHAnsi"/>
          <w:sz w:val="24"/>
          <w:szCs w:val="24"/>
        </w:rPr>
        <w:t>IAMGold</w:t>
      </w:r>
      <w:proofErr w:type="spellEnd"/>
      <w:r>
        <w:rPr>
          <w:rFonts w:asciiTheme="minorHAnsi" w:hAnsiTheme="minorHAnsi" w:cstheme="minorHAnsi"/>
          <w:sz w:val="24"/>
          <w:szCs w:val="24"/>
        </w:rPr>
        <w:t xml:space="preserve"> Corporation, an international gold mining, development and </w:t>
      </w:r>
      <w:proofErr w:type="gramStart"/>
      <w:r>
        <w:rPr>
          <w:rFonts w:asciiTheme="minorHAnsi" w:hAnsiTheme="minorHAnsi" w:cstheme="minorHAnsi"/>
          <w:sz w:val="24"/>
          <w:szCs w:val="24"/>
        </w:rPr>
        <w:t xml:space="preserve">exploration </w:t>
      </w:r>
      <w:r w:rsidR="008D4824">
        <w:rPr>
          <w:rFonts w:asciiTheme="minorHAnsi" w:hAnsiTheme="minorHAnsi" w:cstheme="minorHAnsi"/>
          <w:sz w:val="24"/>
          <w:szCs w:val="24"/>
        </w:rPr>
        <w:t>company</w:t>
      </w:r>
      <w:proofErr w:type="gramEnd"/>
      <w:r w:rsidR="008D4824">
        <w:rPr>
          <w:rFonts w:asciiTheme="minorHAnsi" w:hAnsiTheme="minorHAnsi" w:cstheme="minorHAnsi"/>
          <w:sz w:val="24"/>
          <w:szCs w:val="24"/>
        </w:rPr>
        <w:t xml:space="preserve"> </w:t>
      </w:r>
      <w:r>
        <w:rPr>
          <w:rFonts w:asciiTheme="minorHAnsi" w:hAnsiTheme="minorHAnsi" w:cstheme="minorHAnsi"/>
          <w:sz w:val="24"/>
          <w:szCs w:val="24"/>
        </w:rPr>
        <w:t xml:space="preserve">with operating mines across three continents, including in Mali and Burkina Faso, West Africa.   Collectively this team directed international investments, joint ventures, government relationships and operations for </w:t>
      </w:r>
      <w:proofErr w:type="spellStart"/>
      <w:r>
        <w:rPr>
          <w:rFonts w:asciiTheme="minorHAnsi" w:hAnsiTheme="minorHAnsi" w:cstheme="minorHAnsi"/>
          <w:sz w:val="24"/>
          <w:szCs w:val="24"/>
        </w:rPr>
        <w:t>IAMGold</w:t>
      </w:r>
      <w:proofErr w:type="spellEnd"/>
      <w:r>
        <w:rPr>
          <w:rFonts w:asciiTheme="minorHAnsi" w:hAnsiTheme="minorHAnsi" w:cstheme="minorHAnsi"/>
          <w:sz w:val="24"/>
          <w:szCs w:val="24"/>
        </w:rPr>
        <w:t xml:space="preserve"> Corporation, growing the company from a </w:t>
      </w:r>
      <w:r w:rsidR="0089575E">
        <w:rPr>
          <w:rFonts w:asciiTheme="minorHAnsi" w:hAnsiTheme="minorHAnsi" w:cstheme="minorHAnsi"/>
          <w:sz w:val="24"/>
          <w:szCs w:val="24"/>
        </w:rPr>
        <w:t xml:space="preserve">$50 million joint venture company to a $6 billion leading intermediate gold producer, listed on the TSX and NYSE.   </w:t>
      </w:r>
    </w:p>
    <w:p w14:paraId="38489DB9" w14:textId="54D78245" w:rsidR="0089575E" w:rsidRDefault="0089575E" w:rsidP="007B33CB">
      <w:pPr>
        <w:pStyle w:val="BodyText"/>
        <w:ind w:left="119" w:right="119" w:hanging="1"/>
        <w:jc w:val="both"/>
        <w:rPr>
          <w:rFonts w:asciiTheme="minorHAnsi" w:hAnsiTheme="minorHAnsi" w:cstheme="minorHAnsi"/>
          <w:sz w:val="24"/>
          <w:szCs w:val="24"/>
        </w:rPr>
      </w:pPr>
    </w:p>
    <w:p w14:paraId="6AAD7684" w14:textId="0ADB6AF2" w:rsidR="0089575E" w:rsidRPr="00E01379" w:rsidRDefault="0089575E" w:rsidP="007B33CB">
      <w:pPr>
        <w:pStyle w:val="BodyText"/>
        <w:ind w:left="119" w:right="119" w:hanging="1"/>
        <w:jc w:val="both"/>
        <w:rPr>
          <w:rFonts w:asciiTheme="minorHAnsi" w:hAnsiTheme="minorHAnsi" w:cstheme="minorHAnsi"/>
          <w:sz w:val="24"/>
          <w:szCs w:val="24"/>
        </w:rPr>
      </w:pPr>
      <w:r>
        <w:rPr>
          <w:rFonts w:asciiTheme="minorHAnsi" w:hAnsiTheme="minorHAnsi" w:cstheme="minorHAnsi"/>
          <w:sz w:val="24"/>
          <w:szCs w:val="24"/>
        </w:rPr>
        <w:t xml:space="preserve">With existing directors James Henderson and </w:t>
      </w:r>
      <w:proofErr w:type="spellStart"/>
      <w:r>
        <w:rPr>
          <w:rFonts w:asciiTheme="minorHAnsi" w:hAnsiTheme="minorHAnsi" w:cstheme="minorHAnsi"/>
          <w:sz w:val="24"/>
          <w:szCs w:val="24"/>
        </w:rPr>
        <w:t>Madani</w:t>
      </w:r>
      <w:proofErr w:type="spellEnd"/>
      <w:r>
        <w:rPr>
          <w:rFonts w:asciiTheme="minorHAnsi" w:hAnsiTheme="minorHAnsi" w:cstheme="minorHAnsi"/>
          <w:sz w:val="24"/>
          <w:szCs w:val="24"/>
        </w:rPr>
        <w:t xml:space="preserve"> Diallo, Compass will have </w:t>
      </w:r>
      <w:r w:rsidR="00C6155B">
        <w:rPr>
          <w:rFonts w:asciiTheme="minorHAnsi" w:hAnsiTheme="minorHAnsi" w:cstheme="minorHAnsi"/>
          <w:sz w:val="24"/>
          <w:szCs w:val="24"/>
        </w:rPr>
        <w:t xml:space="preserve">a </w:t>
      </w:r>
      <w:r>
        <w:rPr>
          <w:rFonts w:asciiTheme="minorHAnsi" w:hAnsiTheme="minorHAnsi" w:cstheme="minorHAnsi"/>
          <w:sz w:val="24"/>
          <w:szCs w:val="24"/>
        </w:rPr>
        <w:t xml:space="preserve">leading board </w:t>
      </w:r>
      <w:r w:rsidR="00582CA6">
        <w:rPr>
          <w:rFonts w:asciiTheme="minorHAnsi" w:hAnsiTheme="minorHAnsi" w:cstheme="minorHAnsi"/>
          <w:sz w:val="24"/>
          <w:szCs w:val="24"/>
        </w:rPr>
        <w:t xml:space="preserve">and </w:t>
      </w:r>
      <w:r>
        <w:rPr>
          <w:rFonts w:asciiTheme="minorHAnsi" w:hAnsiTheme="minorHAnsi" w:cstheme="minorHAnsi"/>
          <w:sz w:val="24"/>
          <w:szCs w:val="24"/>
        </w:rPr>
        <w:t>management team with substantial experience in finding and developing resources in Mali and West Africa.</w:t>
      </w:r>
    </w:p>
    <w:p w14:paraId="51338534" w14:textId="20567CB5" w:rsidR="007B33CB" w:rsidRDefault="007B33CB" w:rsidP="0081236B">
      <w:pPr>
        <w:pStyle w:val="BodyText"/>
        <w:spacing w:before="8"/>
        <w:ind w:left="118"/>
        <w:rPr>
          <w:rFonts w:asciiTheme="minorHAnsi" w:hAnsiTheme="minorHAnsi" w:cstheme="minorHAnsi"/>
          <w:sz w:val="24"/>
          <w:szCs w:val="24"/>
        </w:rPr>
      </w:pPr>
    </w:p>
    <w:p w14:paraId="03D80CC7" w14:textId="6DBA1510" w:rsidR="00865578" w:rsidRDefault="00865578" w:rsidP="00865578">
      <w:pPr>
        <w:keepNext/>
        <w:ind w:left="115"/>
        <w:jc w:val="both"/>
        <w:rPr>
          <w:rFonts w:asciiTheme="minorHAnsi" w:hAnsiTheme="minorHAnsi" w:cstheme="minorHAnsi"/>
          <w:b/>
          <w:i/>
          <w:sz w:val="24"/>
          <w:szCs w:val="24"/>
        </w:rPr>
      </w:pPr>
      <w:r>
        <w:rPr>
          <w:rFonts w:asciiTheme="minorHAnsi" w:hAnsiTheme="minorHAnsi" w:cstheme="minorHAnsi"/>
          <w:b/>
          <w:i/>
          <w:sz w:val="24"/>
          <w:szCs w:val="24"/>
        </w:rPr>
        <w:t>Concurrent Private Placement</w:t>
      </w:r>
    </w:p>
    <w:p w14:paraId="16C706CB" w14:textId="6C5C5683" w:rsidR="00865578" w:rsidRDefault="00865578" w:rsidP="00865578">
      <w:pPr>
        <w:keepNext/>
        <w:ind w:left="115"/>
        <w:jc w:val="both"/>
        <w:rPr>
          <w:rFonts w:asciiTheme="minorHAnsi" w:hAnsiTheme="minorHAnsi" w:cstheme="minorHAnsi"/>
          <w:b/>
          <w:i/>
          <w:sz w:val="24"/>
          <w:szCs w:val="24"/>
        </w:rPr>
      </w:pPr>
    </w:p>
    <w:p w14:paraId="2D6FC558" w14:textId="5DFD8C09" w:rsidR="00865578" w:rsidRPr="000A3A59" w:rsidRDefault="00865578" w:rsidP="00865578">
      <w:pPr>
        <w:keepNext/>
        <w:ind w:left="115"/>
        <w:jc w:val="both"/>
        <w:rPr>
          <w:rFonts w:asciiTheme="minorHAnsi" w:hAnsiTheme="minorHAnsi" w:cstheme="minorHAnsi"/>
          <w:sz w:val="24"/>
          <w:szCs w:val="24"/>
        </w:rPr>
      </w:pPr>
      <w:r>
        <w:rPr>
          <w:rFonts w:asciiTheme="minorHAnsi" w:hAnsiTheme="minorHAnsi" w:cstheme="minorHAnsi"/>
          <w:sz w:val="24"/>
          <w:szCs w:val="24"/>
        </w:rPr>
        <w:t>It is a condition to completion of the Acquisition that Compass completes a concurrent private placement of at least C$5,000,000 (up to a maximum of C$6,000,000).  Compass expects to provide further information regarding this concurrent private placement if the Company enters into the Definitive Agreement.</w:t>
      </w:r>
    </w:p>
    <w:p w14:paraId="30FAF2B6" w14:textId="77777777" w:rsidR="00E2506D" w:rsidRPr="00E01379" w:rsidRDefault="00E2506D" w:rsidP="0081236B">
      <w:pPr>
        <w:pStyle w:val="BodyText"/>
        <w:spacing w:before="8"/>
        <w:ind w:left="118"/>
        <w:rPr>
          <w:rFonts w:asciiTheme="minorHAnsi" w:hAnsiTheme="minorHAnsi" w:cstheme="minorHAnsi"/>
          <w:sz w:val="24"/>
          <w:szCs w:val="24"/>
        </w:rPr>
      </w:pPr>
    </w:p>
    <w:p w14:paraId="0D277223" w14:textId="35694DB6" w:rsidR="00F91E66" w:rsidRPr="00582CA6" w:rsidRDefault="00F91E66" w:rsidP="0081236B">
      <w:pPr>
        <w:pStyle w:val="BodyText"/>
        <w:ind w:left="118" w:right="118" w:hanging="1"/>
        <w:jc w:val="both"/>
        <w:rPr>
          <w:rFonts w:asciiTheme="minorHAnsi" w:hAnsiTheme="minorHAnsi" w:cstheme="minorHAnsi"/>
          <w:b/>
          <w:i/>
          <w:sz w:val="24"/>
          <w:szCs w:val="24"/>
        </w:rPr>
      </w:pPr>
      <w:r w:rsidRPr="00582CA6">
        <w:rPr>
          <w:rFonts w:asciiTheme="minorHAnsi" w:hAnsiTheme="minorHAnsi" w:cstheme="minorHAnsi"/>
          <w:b/>
          <w:i/>
          <w:sz w:val="24"/>
          <w:szCs w:val="24"/>
        </w:rPr>
        <w:t>Completion of the Acquisition is subject to a number of conditions precedent, including but not limited to TS</w:t>
      </w:r>
      <w:r w:rsidR="004F0D89" w:rsidRPr="00582CA6">
        <w:rPr>
          <w:rFonts w:asciiTheme="minorHAnsi" w:hAnsiTheme="minorHAnsi" w:cstheme="minorHAnsi"/>
          <w:b/>
          <w:i/>
          <w:sz w:val="24"/>
          <w:szCs w:val="24"/>
        </w:rPr>
        <w:t xml:space="preserve">XV acceptance. The Acquisition </w:t>
      </w:r>
      <w:r w:rsidRPr="00582CA6">
        <w:rPr>
          <w:rFonts w:asciiTheme="minorHAnsi" w:hAnsiTheme="minorHAnsi" w:cstheme="minorHAnsi"/>
          <w:b/>
          <w:i/>
          <w:sz w:val="24"/>
          <w:szCs w:val="24"/>
        </w:rPr>
        <w:t>cannot close until the required shareholder and Exchange approvals are obtained.  There can be no assurance that the Acquisition will be completed as proposed or at all.</w:t>
      </w:r>
    </w:p>
    <w:p w14:paraId="5F6914B5" w14:textId="31C3E6C4" w:rsidR="007B33CB" w:rsidRDefault="007B33CB" w:rsidP="00A45402">
      <w:pPr>
        <w:pStyle w:val="BodyText"/>
        <w:spacing w:before="7"/>
        <w:rPr>
          <w:rFonts w:asciiTheme="minorHAnsi" w:hAnsiTheme="minorHAnsi" w:cstheme="minorHAnsi"/>
          <w:sz w:val="24"/>
          <w:szCs w:val="24"/>
        </w:rPr>
      </w:pPr>
    </w:p>
    <w:p w14:paraId="5D4C4156" w14:textId="263E0A7C" w:rsidR="007B33CB" w:rsidRPr="00E01379" w:rsidRDefault="007B33CB" w:rsidP="00A45402">
      <w:pPr>
        <w:pStyle w:val="Heading2"/>
        <w:keepNext/>
        <w:spacing w:before="1"/>
        <w:ind w:left="115"/>
        <w:rPr>
          <w:rFonts w:asciiTheme="minorHAnsi" w:hAnsiTheme="minorHAnsi" w:cstheme="minorHAnsi"/>
          <w:sz w:val="24"/>
          <w:szCs w:val="24"/>
        </w:rPr>
      </w:pPr>
      <w:r w:rsidRPr="00E01379">
        <w:rPr>
          <w:rFonts w:asciiTheme="minorHAnsi" w:hAnsiTheme="minorHAnsi" w:cstheme="minorHAnsi"/>
          <w:sz w:val="24"/>
          <w:szCs w:val="24"/>
        </w:rPr>
        <w:t>About MGE</w:t>
      </w:r>
    </w:p>
    <w:p w14:paraId="51737B6C" w14:textId="77777777" w:rsidR="007B33CB" w:rsidRPr="00A45402" w:rsidRDefault="007B33CB" w:rsidP="00A45402">
      <w:pPr>
        <w:pStyle w:val="BodyText"/>
        <w:spacing w:before="7"/>
        <w:rPr>
          <w:rFonts w:asciiTheme="minorHAnsi" w:hAnsiTheme="minorHAnsi" w:cstheme="minorHAnsi"/>
          <w:sz w:val="24"/>
          <w:szCs w:val="24"/>
        </w:rPr>
      </w:pPr>
    </w:p>
    <w:p w14:paraId="5652CFC0" w14:textId="59F1FABE" w:rsidR="007B33CB" w:rsidRDefault="007B33CB" w:rsidP="007B33CB">
      <w:pPr>
        <w:pStyle w:val="BodyText"/>
        <w:ind w:left="120" w:right="120" w:hanging="1"/>
        <w:jc w:val="both"/>
        <w:rPr>
          <w:rFonts w:asciiTheme="minorHAnsi" w:hAnsiTheme="minorHAnsi" w:cstheme="minorHAnsi"/>
          <w:sz w:val="24"/>
          <w:szCs w:val="24"/>
        </w:rPr>
      </w:pPr>
      <w:r w:rsidRPr="00E01379">
        <w:rPr>
          <w:rFonts w:asciiTheme="minorHAnsi" w:hAnsiTheme="minorHAnsi" w:cstheme="minorHAnsi"/>
          <w:sz w:val="24"/>
          <w:szCs w:val="24"/>
        </w:rPr>
        <w:t xml:space="preserve">MGE is a private </w:t>
      </w:r>
      <w:r w:rsidR="00357D69" w:rsidRPr="00E01379">
        <w:rPr>
          <w:rFonts w:asciiTheme="minorHAnsi" w:hAnsiTheme="minorHAnsi" w:cstheme="minorHAnsi"/>
          <w:sz w:val="24"/>
          <w:szCs w:val="24"/>
        </w:rPr>
        <w:t>Austr</w:t>
      </w:r>
      <w:r w:rsidR="00ED5E72" w:rsidRPr="00E01379">
        <w:rPr>
          <w:rFonts w:asciiTheme="minorHAnsi" w:hAnsiTheme="minorHAnsi" w:cstheme="minorHAnsi"/>
          <w:sz w:val="24"/>
          <w:szCs w:val="24"/>
        </w:rPr>
        <w:t>a</w:t>
      </w:r>
      <w:r w:rsidR="00357D69" w:rsidRPr="00E01379">
        <w:rPr>
          <w:rFonts w:asciiTheme="minorHAnsi" w:hAnsiTheme="minorHAnsi" w:cstheme="minorHAnsi"/>
          <w:sz w:val="24"/>
          <w:szCs w:val="24"/>
        </w:rPr>
        <w:t>l</w:t>
      </w:r>
      <w:r w:rsidR="00ED5E72" w:rsidRPr="00E01379">
        <w:rPr>
          <w:rFonts w:asciiTheme="minorHAnsi" w:hAnsiTheme="minorHAnsi" w:cstheme="minorHAnsi"/>
          <w:sz w:val="24"/>
          <w:szCs w:val="24"/>
        </w:rPr>
        <w:t>ia</w:t>
      </w:r>
      <w:r w:rsidRPr="00E01379">
        <w:rPr>
          <w:rFonts w:asciiTheme="minorHAnsi" w:hAnsiTheme="minorHAnsi" w:cstheme="minorHAnsi"/>
          <w:sz w:val="24"/>
          <w:szCs w:val="24"/>
        </w:rPr>
        <w:t xml:space="preserve"> company with gold exploration permits</w:t>
      </w:r>
      <w:r w:rsidR="00516CBE">
        <w:rPr>
          <w:rFonts w:asciiTheme="minorHAnsi" w:hAnsiTheme="minorHAnsi" w:cstheme="minorHAnsi"/>
          <w:sz w:val="24"/>
          <w:szCs w:val="24"/>
        </w:rPr>
        <w:t xml:space="preserve"> located </w:t>
      </w:r>
      <w:r w:rsidR="00ED5E72" w:rsidRPr="00E01379">
        <w:rPr>
          <w:rFonts w:asciiTheme="minorHAnsi" w:hAnsiTheme="minorHAnsi" w:cstheme="minorHAnsi"/>
          <w:sz w:val="24"/>
          <w:szCs w:val="24"/>
        </w:rPr>
        <w:t>Mali</w:t>
      </w:r>
      <w:r w:rsidRPr="00E01379">
        <w:rPr>
          <w:rFonts w:asciiTheme="minorHAnsi" w:hAnsiTheme="minorHAnsi" w:cstheme="minorHAnsi"/>
          <w:sz w:val="24"/>
          <w:szCs w:val="24"/>
        </w:rPr>
        <w:t>.</w:t>
      </w:r>
      <w:r w:rsidR="003B4BE6" w:rsidRPr="00E01379">
        <w:rPr>
          <w:rFonts w:asciiTheme="minorHAnsi" w:hAnsiTheme="minorHAnsi" w:cstheme="minorHAnsi"/>
          <w:sz w:val="24"/>
          <w:szCs w:val="24"/>
        </w:rPr>
        <w:t xml:space="preserve"> </w:t>
      </w:r>
      <w:r w:rsidR="00B7464A">
        <w:rPr>
          <w:rFonts w:asciiTheme="minorHAnsi" w:hAnsiTheme="minorHAnsi" w:cstheme="minorHAnsi"/>
          <w:sz w:val="24"/>
          <w:szCs w:val="24"/>
        </w:rPr>
        <w:t xml:space="preserve"> MGE owns the </w:t>
      </w:r>
      <w:proofErr w:type="spellStart"/>
      <w:r w:rsidR="00B7464A">
        <w:rPr>
          <w:rFonts w:asciiTheme="minorHAnsi" w:hAnsiTheme="minorHAnsi" w:cstheme="minorHAnsi"/>
          <w:sz w:val="24"/>
          <w:szCs w:val="24"/>
        </w:rPr>
        <w:t>Sikasso</w:t>
      </w:r>
      <w:proofErr w:type="spellEnd"/>
      <w:r w:rsidR="00B7464A">
        <w:rPr>
          <w:rFonts w:asciiTheme="minorHAnsi" w:hAnsiTheme="minorHAnsi" w:cstheme="minorHAnsi"/>
          <w:sz w:val="24"/>
          <w:szCs w:val="24"/>
        </w:rPr>
        <w:t xml:space="preserve"> Project located in three sites in Southern Mali </w:t>
      </w:r>
      <w:r w:rsidR="00516CBE">
        <w:rPr>
          <w:rFonts w:asciiTheme="minorHAnsi" w:hAnsiTheme="minorHAnsi" w:cstheme="minorHAnsi"/>
          <w:sz w:val="24"/>
          <w:szCs w:val="24"/>
        </w:rPr>
        <w:t>with a combine</w:t>
      </w:r>
      <w:r w:rsidR="008D4824">
        <w:rPr>
          <w:rFonts w:asciiTheme="minorHAnsi" w:hAnsiTheme="minorHAnsi" w:cstheme="minorHAnsi"/>
          <w:sz w:val="24"/>
          <w:szCs w:val="24"/>
        </w:rPr>
        <w:t>d</w:t>
      </w:r>
      <w:r w:rsidR="00516CBE">
        <w:rPr>
          <w:rFonts w:asciiTheme="minorHAnsi" w:hAnsiTheme="minorHAnsi" w:cstheme="minorHAnsi"/>
          <w:sz w:val="24"/>
          <w:szCs w:val="24"/>
        </w:rPr>
        <w:t xml:space="preserve"> land holding of 1,129km</w:t>
      </w:r>
      <w:r w:rsidR="00516CBE" w:rsidRPr="00516CBE">
        <w:rPr>
          <w:rFonts w:asciiTheme="minorHAnsi" w:hAnsiTheme="minorHAnsi" w:cstheme="minorHAnsi"/>
          <w:sz w:val="24"/>
          <w:szCs w:val="24"/>
          <w:vertAlign w:val="superscript"/>
        </w:rPr>
        <w:t>2</w:t>
      </w:r>
      <w:r w:rsidR="00516CBE">
        <w:rPr>
          <w:rFonts w:asciiTheme="minorHAnsi" w:hAnsiTheme="minorHAnsi" w:cstheme="minorHAnsi"/>
          <w:sz w:val="24"/>
          <w:szCs w:val="24"/>
        </w:rPr>
        <w:t xml:space="preserve">.  The </w:t>
      </w:r>
      <w:proofErr w:type="spellStart"/>
      <w:r w:rsidR="00516CBE">
        <w:rPr>
          <w:rFonts w:asciiTheme="minorHAnsi" w:hAnsiTheme="minorHAnsi" w:cstheme="minorHAnsi"/>
          <w:sz w:val="24"/>
          <w:szCs w:val="24"/>
        </w:rPr>
        <w:t>Sikasso</w:t>
      </w:r>
      <w:proofErr w:type="spellEnd"/>
      <w:r w:rsidR="00516CBE">
        <w:rPr>
          <w:rFonts w:asciiTheme="minorHAnsi" w:hAnsiTheme="minorHAnsi" w:cstheme="minorHAnsi"/>
          <w:sz w:val="24"/>
          <w:szCs w:val="24"/>
        </w:rPr>
        <w:t xml:space="preserve"> Project is located in the same region as several other multi-million ounce gold projects in Mali.</w:t>
      </w:r>
      <w:r w:rsidR="003770F6">
        <w:rPr>
          <w:rFonts w:asciiTheme="minorHAnsi" w:hAnsiTheme="minorHAnsi" w:cstheme="minorHAnsi"/>
          <w:sz w:val="24"/>
          <w:szCs w:val="24"/>
        </w:rPr>
        <w:t xml:space="preserve">  </w:t>
      </w:r>
    </w:p>
    <w:p w14:paraId="476478C7" w14:textId="140FE172" w:rsidR="003770F6" w:rsidRDefault="003770F6" w:rsidP="007B33CB">
      <w:pPr>
        <w:pStyle w:val="BodyText"/>
        <w:ind w:left="120" w:right="120" w:hanging="1"/>
        <w:jc w:val="both"/>
        <w:rPr>
          <w:rFonts w:asciiTheme="minorHAnsi" w:hAnsiTheme="minorHAnsi" w:cstheme="minorHAnsi"/>
          <w:sz w:val="24"/>
          <w:szCs w:val="24"/>
        </w:rPr>
      </w:pPr>
    </w:p>
    <w:p w14:paraId="40488F7B" w14:textId="5AC889ED" w:rsidR="003770F6" w:rsidRPr="00E01379" w:rsidRDefault="003770F6" w:rsidP="007B33CB">
      <w:pPr>
        <w:pStyle w:val="BodyText"/>
        <w:ind w:left="120" w:right="120" w:hanging="1"/>
        <w:jc w:val="both"/>
        <w:rPr>
          <w:rFonts w:asciiTheme="minorHAnsi" w:hAnsiTheme="minorHAnsi" w:cstheme="minorHAnsi"/>
          <w:sz w:val="24"/>
          <w:szCs w:val="24"/>
        </w:rPr>
      </w:pPr>
      <w:r>
        <w:rPr>
          <w:rFonts w:asciiTheme="minorHAnsi" w:hAnsiTheme="minorHAnsi" w:cstheme="minorHAnsi"/>
          <w:sz w:val="24"/>
          <w:szCs w:val="24"/>
        </w:rPr>
        <w:t xml:space="preserve">The Company expects to provide further information regarding MGE and the </w:t>
      </w:r>
      <w:proofErr w:type="spellStart"/>
      <w:r>
        <w:rPr>
          <w:rFonts w:asciiTheme="minorHAnsi" w:hAnsiTheme="minorHAnsi" w:cstheme="minorHAnsi"/>
          <w:sz w:val="24"/>
          <w:szCs w:val="24"/>
        </w:rPr>
        <w:t>Sikasso</w:t>
      </w:r>
      <w:proofErr w:type="spellEnd"/>
      <w:r>
        <w:rPr>
          <w:rFonts w:asciiTheme="minorHAnsi" w:hAnsiTheme="minorHAnsi" w:cstheme="minorHAnsi"/>
          <w:sz w:val="24"/>
          <w:szCs w:val="24"/>
        </w:rPr>
        <w:t xml:space="preserve"> Proj</w:t>
      </w:r>
      <w:r w:rsidR="00865578">
        <w:rPr>
          <w:rFonts w:asciiTheme="minorHAnsi" w:hAnsiTheme="minorHAnsi" w:cstheme="minorHAnsi"/>
          <w:sz w:val="24"/>
          <w:szCs w:val="24"/>
        </w:rPr>
        <w:t>ect if the Company enters into the</w:t>
      </w:r>
      <w:r>
        <w:rPr>
          <w:rFonts w:asciiTheme="minorHAnsi" w:hAnsiTheme="minorHAnsi" w:cstheme="minorHAnsi"/>
          <w:sz w:val="24"/>
          <w:szCs w:val="24"/>
        </w:rPr>
        <w:t xml:space="preserve"> Definitive Agreement.</w:t>
      </w:r>
    </w:p>
    <w:p w14:paraId="41F8D9B5" w14:textId="77777777" w:rsidR="007B33CB" w:rsidRPr="00E01379" w:rsidRDefault="007B33CB" w:rsidP="007B33CB">
      <w:pPr>
        <w:pStyle w:val="BodyText"/>
        <w:spacing w:before="7"/>
        <w:rPr>
          <w:rFonts w:asciiTheme="minorHAnsi" w:hAnsiTheme="minorHAnsi" w:cstheme="minorHAnsi"/>
          <w:sz w:val="24"/>
          <w:szCs w:val="24"/>
        </w:rPr>
      </w:pPr>
    </w:p>
    <w:p w14:paraId="02C4D03F" w14:textId="77777777" w:rsidR="007B33CB" w:rsidRPr="00E01379" w:rsidRDefault="007B33CB" w:rsidP="000A3A59">
      <w:pPr>
        <w:pStyle w:val="Heading2"/>
        <w:keepNext/>
        <w:spacing w:before="1"/>
        <w:ind w:left="115"/>
        <w:rPr>
          <w:rFonts w:asciiTheme="minorHAnsi" w:hAnsiTheme="minorHAnsi" w:cstheme="minorHAnsi"/>
          <w:sz w:val="24"/>
          <w:szCs w:val="24"/>
        </w:rPr>
      </w:pPr>
      <w:r w:rsidRPr="00E01379">
        <w:rPr>
          <w:rFonts w:asciiTheme="minorHAnsi" w:hAnsiTheme="minorHAnsi" w:cstheme="minorHAnsi"/>
          <w:sz w:val="24"/>
          <w:szCs w:val="24"/>
        </w:rPr>
        <w:t>About Compass</w:t>
      </w:r>
    </w:p>
    <w:p w14:paraId="5375AC0B" w14:textId="77777777" w:rsidR="007B33CB" w:rsidRPr="00E01379" w:rsidRDefault="007B33CB" w:rsidP="007B33CB">
      <w:pPr>
        <w:pStyle w:val="BodyText"/>
        <w:spacing w:before="8"/>
        <w:rPr>
          <w:rFonts w:asciiTheme="minorHAnsi" w:hAnsiTheme="minorHAnsi" w:cstheme="minorHAnsi"/>
          <w:b/>
          <w:sz w:val="24"/>
          <w:szCs w:val="24"/>
        </w:rPr>
      </w:pPr>
    </w:p>
    <w:p w14:paraId="645613D0" w14:textId="1E1BE4B1" w:rsidR="007B33CB" w:rsidRPr="00E01379" w:rsidRDefault="007B33CB" w:rsidP="007B33CB">
      <w:pPr>
        <w:pStyle w:val="BodyText"/>
        <w:ind w:left="120" w:right="119" w:hanging="1"/>
        <w:jc w:val="both"/>
        <w:rPr>
          <w:rFonts w:asciiTheme="minorHAnsi" w:hAnsiTheme="minorHAnsi" w:cstheme="minorHAnsi"/>
          <w:sz w:val="24"/>
          <w:szCs w:val="24"/>
        </w:rPr>
      </w:pPr>
      <w:r w:rsidRPr="00E01379">
        <w:rPr>
          <w:rFonts w:asciiTheme="minorHAnsi" w:hAnsiTheme="minorHAnsi" w:cstheme="minorHAnsi"/>
          <w:sz w:val="24"/>
          <w:szCs w:val="24"/>
        </w:rPr>
        <w:t>Compass</w:t>
      </w:r>
      <w:r w:rsidR="00357D69" w:rsidRPr="00E01379">
        <w:rPr>
          <w:rFonts w:asciiTheme="minorHAnsi" w:hAnsiTheme="minorHAnsi" w:cstheme="minorHAnsi"/>
          <w:sz w:val="24"/>
          <w:szCs w:val="24"/>
        </w:rPr>
        <w:t xml:space="preserve"> is</w:t>
      </w:r>
      <w:r w:rsidRPr="00E01379">
        <w:rPr>
          <w:rFonts w:asciiTheme="minorHAnsi" w:hAnsiTheme="minorHAnsi" w:cstheme="minorHAnsi"/>
          <w:sz w:val="24"/>
          <w:szCs w:val="24"/>
        </w:rPr>
        <w:t xml:space="preserve"> </w:t>
      </w:r>
      <w:r w:rsidR="00357D69" w:rsidRPr="00E01379">
        <w:rPr>
          <w:rFonts w:asciiTheme="minorHAnsi" w:hAnsiTheme="minorHAnsi" w:cstheme="minorHAnsi"/>
          <w:sz w:val="24"/>
          <w:szCs w:val="24"/>
        </w:rPr>
        <w:t xml:space="preserve">a public company </w:t>
      </w:r>
      <w:r w:rsidR="003770F6">
        <w:rPr>
          <w:rFonts w:asciiTheme="minorHAnsi" w:hAnsiTheme="minorHAnsi" w:cstheme="minorHAnsi"/>
          <w:sz w:val="24"/>
          <w:szCs w:val="24"/>
        </w:rPr>
        <w:t xml:space="preserve">organized under the laws of </w:t>
      </w:r>
      <w:r w:rsidR="00357D69" w:rsidRPr="00E01379">
        <w:rPr>
          <w:rFonts w:asciiTheme="minorHAnsi" w:hAnsiTheme="minorHAnsi" w:cstheme="minorHAnsi"/>
          <w:sz w:val="24"/>
          <w:szCs w:val="24"/>
        </w:rPr>
        <w:t xml:space="preserve">British Columbia. Compass is </w:t>
      </w:r>
      <w:r w:rsidRPr="00E01379">
        <w:rPr>
          <w:rFonts w:asciiTheme="minorHAnsi" w:hAnsiTheme="minorHAnsi" w:cstheme="minorHAnsi"/>
          <w:sz w:val="24"/>
          <w:szCs w:val="24"/>
        </w:rPr>
        <w:t>currently listed on the NEX board of the Exchange.</w:t>
      </w:r>
    </w:p>
    <w:p w14:paraId="3495B557" w14:textId="77777777" w:rsidR="007B33CB" w:rsidRPr="00E01379" w:rsidRDefault="007B33CB" w:rsidP="007B33CB">
      <w:pPr>
        <w:pStyle w:val="BodyText"/>
        <w:spacing w:before="8"/>
        <w:rPr>
          <w:rFonts w:asciiTheme="minorHAnsi" w:hAnsiTheme="minorHAnsi" w:cstheme="minorHAnsi"/>
          <w:i/>
          <w:sz w:val="24"/>
          <w:szCs w:val="24"/>
        </w:rPr>
      </w:pPr>
    </w:p>
    <w:p w14:paraId="6E5A9E00" w14:textId="77777777" w:rsidR="007B33CB" w:rsidRPr="00E01379" w:rsidRDefault="007B33CB" w:rsidP="007B33CB">
      <w:pPr>
        <w:pStyle w:val="Heading2"/>
        <w:rPr>
          <w:rFonts w:asciiTheme="minorHAnsi" w:hAnsiTheme="minorHAnsi" w:cstheme="minorHAnsi"/>
          <w:sz w:val="24"/>
          <w:szCs w:val="24"/>
        </w:rPr>
      </w:pPr>
      <w:r w:rsidRPr="00E01379">
        <w:rPr>
          <w:rFonts w:asciiTheme="minorHAnsi" w:hAnsiTheme="minorHAnsi" w:cstheme="minorHAnsi"/>
          <w:sz w:val="24"/>
          <w:szCs w:val="24"/>
        </w:rPr>
        <w:t>ON BEHALF OF THE BOARDS</w:t>
      </w:r>
    </w:p>
    <w:p w14:paraId="256C4636" w14:textId="77777777" w:rsidR="007B33CB" w:rsidRPr="00E01379" w:rsidRDefault="007B33CB" w:rsidP="007B33CB">
      <w:pPr>
        <w:pStyle w:val="BodyText"/>
        <w:spacing w:before="8"/>
        <w:rPr>
          <w:rFonts w:asciiTheme="minorHAnsi" w:hAnsiTheme="minorHAnsi" w:cstheme="minorHAnsi"/>
          <w:b/>
          <w:sz w:val="24"/>
          <w:szCs w:val="24"/>
        </w:rPr>
      </w:pPr>
    </w:p>
    <w:p w14:paraId="45CE41C9" w14:textId="77777777" w:rsidR="007B33CB" w:rsidRPr="00E01379" w:rsidRDefault="007B33CB" w:rsidP="00ED5E72">
      <w:pPr>
        <w:tabs>
          <w:tab w:val="left" w:pos="5812"/>
        </w:tabs>
        <w:ind w:left="119"/>
        <w:jc w:val="both"/>
        <w:rPr>
          <w:rFonts w:asciiTheme="minorHAnsi" w:hAnsiTheme="minorHAnsi" w:cstheme="minorHAnsi"/>
          <w:b/>
          <w:sz w:val="24"/>
          <w:szCs w:val="24"/>
        </w:rPr>
      </w:pPr>
      <w:r w:rsidRPr="00E01379">
        <w:rPr>
          <w:rFonts w:asciiTheme="minorHAnsi" w:hAnsiTheme="minorHAnsi" w:cstheme="minorHAnsi"/>
          <w:b/>
          <w:sz w:val="24"/>
          <w:szCs w:val="24"/>
        </w:rPr>
        <w:t>COMPASS GOLD CORP.</w:t>
      </w:r>
      <w:r w:rsidRPr="00E01379">
        <w:rPr>
          <w:rFonts w:asciiTheme="minorHAnsi" w:hAnsiTheme="minorHAnsi" w:cstheme="minorHAnsi"/>
          <w:b/>
          <w:sz w:val="24"/>
          <w:szCs w:val="24"/>
        </w:rPr>
        <w:tab/>
      </w:r>
      <w:r w:rsidR="00ED5E72" w:rsidRPr="00E01379">
        <w:rPr>
          <w:rFonts w:asciiTheme="minorHAnsi" w:hAnsiTheme="minorHAnsi" w:cstheme="minorHAnsi"/>
          <w:b/>
          <w:sz w:val="24"/>
          <w:szCs w:val="24"/>
        </w:rPr>
        <w:t>MALI GOLD EXPLORATION PTY LTD</w:t>
      </w:r>
    </w:p>
    <w:p w14:paraId="14BE9064" w14:textId="77777777" w:rsidR="007B33CB" w:rsidRPr="00E01379" w:rsidRDefault="007B33CB" w:rsidP="00ED5E72">
      <w:pPr>
        <w:pStyle w:val="BodyText"/>
        <w:tabs>
          <w:tab w:val="left" w:pos="5812"/>
        </w:tabs>
        <w:spacing w:before="8"/>
        <w:rPr>
          <w:rFonts w:asciiTheme="minorHAnsi" w:hAnsiTheme="minorHAnsi" w:cstheme="minorHAnsi"/>
          <w:b/>
          <w:sz w:val="24"/>
          <w:szCs w:val="24"/>
        </w:rPr>
      </w:pPr>
    </w:p>
    <w:p w14:paraId="6DB61408" w14:textId="08C59A5F" w:rsidR="007B33CB" w:rsidRPr="00E01379" w:rsidRDefault="007B33CB" w:rsidP="00ED5E72">
      <w:pPr>
        <w:tabs>
          <w:tab w:val="left" w:pos="5812"/>
        </w:tabs>
        <w:ind w:left="119"/>
        <w:jc w:val="both"/>
        <w:rPr>
          <w:rFonts w:asciiTheme="minorHAnsi" w:hAnsiTheme="minorHAnsi" w:cstheme="minorHAnsi"/>
          <w:sz w:val="24"/>
          <w:szCs w:val="24"/>
        </w:rPr>
      </w:pPr>
      <w:r w:rsidRPr="00E01379">
        <w:rPr>
          <w:rFonts w:asciiTheme="minorHAnsi" w:hAnsiTheme="minorHAnsi" w:cstheme="minorHAnsi"/>
          <w:sz w:val="24"/>
          <w:szCs w:val="24"/>
        </w:rPr>
        <w:t>SIGNED:</w:t>
      </w:r>
      <w:r w:rsidRPr="00E01379">
        <w:rPr>
          <w:rFonts w:asciiTheme="minorHAnsi" w:hAnsiTheme="minorHAnsi" w:cstheme="minorHAnsi"/>
          <w:spacing w:val="-4"/>
          <w:sz w:val="24"/>
          <w:szCs w:val="24"/>
        </w:rPr>
        <w:t xml:space="preserve"> </w:t>
      </w:r>
      <w:r w:rsidRPr="00E01379">
        <w:rPr>
          <w:rFonts w:asciiTheme="minorHAnsi" w:hAnsiTheme="minorHAnsi" w:cstheme="minorHAnsi"/>
          <w:sz w:val="24"/>
          <w:szCs w:val="24"/>
        </w:rPr>
        <w:t>“</w:t>
      </w:r>
      <w:r w:rsidR="00FA674D">
        <w:rPr>
          <w:rFonts w:asciiTheme="minorHAnsi" w:hAnsiTheme="minorHAnsi" w:cstheme="minorHAnsi"/>
          <w:i/>
          <w:sz w:val="24"/>
          <w:szCs w:val="24"/>
        </w:rPr>
        <w:t xml:space="preserve">Lara </w:t>
      </w:r>
      <w:proofErr w:type="spellStart"/>
      <w:r w:rsidR="00FA674D">
        <w:rPr>
          <w:rFonts w:asciiTheme="minorHAnsi" w:hAnsiTheme="minorHAnsi" w:cstheme="minorHAnsi"/>
          <w:i/>
          <w:sz w:val="24"/>
          <w:szCs w:val="24"/>
        </w:rPr>
        <w:t>Iacusso</w:t>
      </w:r>
      <w:proofErr w:type="spellEnd"/>
      <w:r w:rsidRPr="00E01379">
        <w:rPr>
          <w:rFonts w:asciiTheme="minorHAnsi" w:hAnsiTheme="minorHAnsi" w:cstheme="minorHAnsi"/>
          <w:sz w:val="24"/>
          <w:szCs w:val="24"/>
        </w:rPr>
        <w:t>”</w:t>
      </w:r>
      <w:r w:rsidRPr="00E01379">
        <w:rPr>
          <w:rFonts w:asciiTheme="minorHAnsi" w:hAnsiTheme="minorHAnsi" w:cstheme="minorHAnsi"/>
          <w:sz w:val="24"/>
          <w:szCs w:val="24"/>
        </w:rPr>
        <w:tab/>
        <w:t>SIGNED: “</w:t>
      </w:r>
      <w:r w:rsidR="00FA674D">
        <w:rPr>
          <w:rFonts w:asciiTheme="minorHAnsi" w:hAnsiTheme="minorHAnsi" w:cstheme="minorHAnsi"/>
          <w:i/>
          <w:sz w:val="24"/>
          <w:szCs w:val="24"/>
        </w:rPr>
        <w:t>James Henderson</w:t>
      </w:r>
      <w:r w:rsidRPr="00E01379">
        <w:rPr>
          <w:rFonts w:asciiTheme="minorHAnsi" w:hAnsiTheme="minorHAnsi" w:cstheme="minorHAnsi"/>
          <w:sz w:val="24"/>
          <w:szCs w:val="24"/>
        </w:rPr>
        <w:t>”</w:t>
      </w:r>
    </w:p>
    <w:p w14:paraId="7D2B7096" w14:textId="77777777" w:rsidR="007B33CB" w:rsidRPr="00E01379" w:rsidRDefault="007B33CB" w:rsidP="00ED5E72">
      <w:pPr>
        <w:pStyle w:val="BodyText"/>
        <w:tabs>
          <w:tab w:val="left" w:pos="5812"/>
        </w:tabs>
        <w:spacing w:before="8"/>
        <w:rPr>
          <w:rFonts w:asciiTheme="minorHAnsi" w:hAnsiTheme="minorHAnsi" w:cstheme="minorHAnsi"/>
          <w:sz w:val="24"/>
          <w:szCs w:val="24"/>
        </w:rPr>
      </w:pPr>
    </w:p>
    <w:p w14:paraId="068B2A19" w14:textId="3B4971C4" w:rsidR="007B33CB" w:rsidRPr="00E01379" w:rsidRDefault="00FA674D" w:rsidP="00ED5E72">
      <w:pPr>
        <w:pStyle w:val="Heading2"/>
        <w:tabs>
          <w:tab w:val="left" w:pos="5812"/>
        </w:tabs>
        <w:rPr>
          <w:rFonts w:asciiTheme="minorHAnsi" w:hAnsiTheme="minorHAnsi" w:cstheme="minorHAnsi"/>
          <w:sz w:val="24"/>
          <w:szCs w:val="24"/>
        </w:rPr>
      </w:pPr>
      <w:r>
        <w:rPr>
          <w:rFonts w:asciiTheme="minorHAnsi" w:hAnsiTheme="minorHAnsi" w:cstheme="minorHAnsi"/>
          <w:sz w:val="24"/>
          <w:szCs w:val="24"/>
        </w:rPr>
        <w:t xml:space="preserve">Lara </w:t>
      </w:r>
      <w:proofErr w:type="spellStart"/>
      <w:r>
        <w:rPr>
          <w:rFonts w:asciiTheme="minorHAnsi" w:hAnsiTheme="minorHAnsi" w:cstheme="minorHAnsi"/>
          <w:sz w:val="24"/>
          <w:szCs w:val="24"/>
        </w:rPr>
        <w:t>Iacusso</w:t>
      </w:r>
      <w:proofErr w:type="spellEnd"/>
      <w:r w:rsidR="00E2506D" w:rsidRPr="00E01379">
        <w:rPr>
          <w:rFonts w:asciiTheme="minorHAnsi" w:hAnsiTheme="minorHAnsi" w:cstheme="minorHAnsi"/>
          <w:sz w:val="24"/>
          <w:szCs w:val="24"/>
        </w:rPr>
        <w:t>,</w:t>
      </w:r>
      <w:r w:rsidR="00E2506D" w:rsidRPr="00E01379">
        <w:rPr>
          <w:rFonts w:asciiTheme="minorHAnsi" w:hAnsiTheme="minorHAnsi" w:cstheme="minorHAnsi"/>
          <w:spacing w:val="-9"/>
          <w:sz w:val="24"/>
          <w:szCs w:val="24"/>
        </w:rPr>
        <w:t xml:space="preserve"> </w:t>
      </w:r>
      <w:r>
        <w:rPr>
          <w:rFonts w:asciiTheme="minorHAnsi" w:hAnsiTheme="minorHAnsi" w:cstheme="minorHAnsi"/>
          <w:sz w:val="24"/>
          <w:szCs w:val="24"/>
        </w:rPr>
        <w:t>Director</w:t>
      </w:r>
      <w:r w:rsidR="007B33CB" w:rsidRPr="00E01379">
        <w:rPr>
          <w:rFonts w:asciiTheme="minorHAnsi" w:hAnsiTheme="minorHAnsi" w:cstheme="minorHAnsi"/>
          <w:sz w:val="24"/>
          <w:szCs w:val="24"/>
        </w:rPr>
        <w:tab/>
      </w:r>
      <w:r>
        <w:rPr>
          <w:rFonts w:asciiTheme="minorHAnsi" w:hAnsiTheme="minorHAnsi" w:cstheme="minorHAnsi"/>
          <w:sz w:val="24"/>
          <w:szCs w:val="24"/>
        </w:rPr>
        <w:t>James Henderson</w:t>
      </w:r>
      <w:r w:rsidR="007B33CB" w:rsidRPr="00E01379">
        <w:rPr>
          <w:rFonts w:asciiTheme="minorHAnsi" w:hAnsiTheme="minorHAnsi" w:cstheme="minorHAnsi"/>
          <w:sz w:val="24"/>
          <w:szCs w:val="24"/>
        </w:rPr>
        <w:t>,</w:t>
      </w:r>
      <w:r w:rsidR="007B33CB" w:rsidRPr="00E01379">
        <w:rPr>
          <w:rFonts w:asciiTheme="minorHAnsi" w:hAnsiTheme="minorHAnsi" w:cstheme="minorHAnsi"/>
          <w:spacing w:val="-9"/>
          <w:sz w:val="24"/>
          <w:szCs w:val="24"/>
        </w:rPr>
        <w:t xml:space="preserve"> </w:t>
      </w:r>
      <w:r w:rsidR="00E2506D">
        <w:rPr>
          <w:rFonts w:asciiTheme="minorHAnsi" w:hAnsiTheme="minorHAnsi" w:cstheme="minorHAnsi"/>
          <w:sz w:val="24"/>
          <w:szCs w:val="24"/>
        </w:rPr>
        <w:t>Director</w:t>
      </w:r>
    </w:p>
    <w:p w14:paraId="23DAC173" w14:textId="77777777" w:rsidR="007B33CB" w:rsidRPr="00E01379" w:rsidRDefault="007B33CB" w:rsidP="007B33CB">
      <w:pPr>
        <w:pStyle w:val="BodyText"/>
        <w:rPr>
          <w:rFonts w:asciiTheme="minorHAnsi" w:hAnsiTheme="minorHAnsi" w:cstheme="minorHAnsi"/>
          <w:b/>
          <w:sz w:val="24"/>
          <w:szCs w:val="24"/>
        </w:rPr>
      </w:pPr>
    </w:p>
    <w:p w14:paraId="0CDA0959" w14:textId="77777777" w:rsidR="007B33CB" w:rsidRPr="00E01379" w:rsidRDefault="007B33CB" w:rsidP="007B33CB">
      <w:pPr>
        <w:spacing w:before="194"/>
        <w:ind w:left="120"/>
        <w:jc w:val="both"/>
        <w:rPr>
          <w:rFonts w:asciiTheme="minorHAnsi" w:hAnsiTheme="minorHAnsi" w:cstheme="minorHAnsi"/>
          <w:b/>
          <w:sz w:val="24"/>
          <w:szCs w:val="24"/>
        </w:rPr>
      </w:pPr>
      <w:r w:rsidRPr="00E01379">
        <w:rPr>
          <w:rFonts w:asciiTheme="minorHAnsi" w:hAnsiTheme="minorHAnsi" w:cstheme="minorHAnsi"/>
          <w:b/>
          <w:sz w:val="24"/>
          <w:szCs w:val="24"/>
        </w:rPr>
        <w:t>Forward‐Looking Information</w:t>
      </w:r>
    </w:p>
    <w:p w14:paraId="19F7F3EA" w14:textId="77777777" w:rsidR="007B33CB" w:rsidRPr="00E01379" w:rsidRDefault="007B33CB" w:rsidP="007B33CB">
      <w:pPr>
        <w:ind w:left="119" w:right="116"/>
        <w:jc w:val="both"/>
        <w:rPr>
          <w:rFonts w:asciiTheme="minorHAnsi" w:hAnsiTheme="minorHAnsi" w:cstheme="minorHAnsi"/>
          <w:sz w:val="24"/>
          <w:szCs w:val="24"/>
        </w:rPr>
      </w:pPr>
      <w:r w:rsidRPr="00E01379">
        <w:rPr>
          <w:rFonts w:asciiTheme="minorHAnsi" w:hAnsiTheme="minorHAnsi" w:cstheme="minorHAnsi"/>
          <w:sz w:val="24"/>
          <w:szCs w:val="24"/>
        </w:rPr>
        <w:t>This news release contains "forward‐looking information" within the meaning of applicable securities laws relating to the proposal to complete the Acquisition and associated transactions, including statements regarding the terms and conditions of such transactions. Readers are cautioned not to place undue reliance on forward‐looking information. Actual results and developments may differ materially from those contemplated by such information depending on, among other things, the risks that the parties will not proceed with the Acquisition and associated transactions, that the ultimate terms of the Acquisition and associated transactions will differ from those that currently are contemplated, and that the Acquisition and associated transactions will not be successfully completed for any reason (including the failure to obtain the required approvals from regulatory authorities). The statements in this news release are made as of the date hereof. The Company undertakes no obligation to update forward‐looking</w:t>
      </w:r>
      <w:r w:rsidRPr="00E01379">
        <w:rPr>
          <w:rFonts w:asciiTheme="minorHAnsi" w:hAnsiTheme="minorHAnsi" w:cstheme="minorHAnsi"/>
          <w:spacing w:val="-4"/>
          <w:sz w:val="24"/>
          <w:szCs w:val="24"/>
        </w:rPr>
        <w:t xml:space="preserve"> </w:t>
      </w:r>
      <w:r w:rsidRPr="00E01379">
        <w:rPr>
          <w:rFonts w:asciiTheme="minorHAnsi" w:hAnsiTheme="minorHAnsi" w:cstheme="minorHAnsi"/>
          <w:sz w:val="24"/>
          <w:szCs w:val="24"/>
        </w:rPr>
        <w:t>information</w:t>
      </w:r>
      <w:r w:rsidRPr="00E01379">
        <w:rPr>
          <w:rFonts w:asciiTheme="minorHAnsi" w:hAnsiTheme="minorHAnsi" w:cstheme="minorHAnsi"/>
          <w:spacing w:val="-5"/>
          <w:sz w:val="24"/>
          <w:szCs w:val="24"/>
        </w:rPr>
        <w:t xml:space="preserve"> </w:t>
      </w:r>
      <w:r w:rsidRPr="00E01379">
        <w:rPr>
          <w:rFonts w:asciiTheme="minorHAnsi" w:hAnsiTheme="minorHAnsi" w:cstheme="minorHAnsi"/>
          <w:sz w:val="24"/>
          <w:szCs w:val="24"/>
        </w:rPr>
        <w:t>except</w:t>
      </w:r>
      <w:r w:rsidRPr="00E01379">
        <w:rPr>
          <w:rFonts w:asciiTheme="minorHAnsi" w:hAnsiTheme="minorHAnsi" w:cstheme="minorHAnsi"/>
          <w:spacing w:val="-7"/>
          <w:sz w:val="24"/>
          <w:szCs w:val="24"/>
        </w:rPr>
        <w:t xml:space="preserve"> </w:t>
      </w:r>
      <w:r w:rsidRPr="00E01379">
        <w:rPr>
          <w:rFonts w:asciiTheme="minorHAnsi" w:hAnsiTheme="minorHAnsi" w:cstheme="minorHAnsi"/>
          <w:sz w:val="24"/>
          <w:szCs w:val="24"/>
        </w:rPr>
        <w:t>as</w:t>
      </w:r>
      <w:r w:rsidRPr="00E01379">
        <w:rPr>
          <w:rFonts w:asciiTheme="minorHAnsi" w:hAnsiTheme="minorHAnsi" w:cstheme="minorHAnsi"/>
          <w:spacing w:val="-6"/>
          <w:sz w:val="24"/>
          <w:szCs w:val="24"/>
        </w:rPr>
        <w:t xml:space="preserve"> </w:t>
      </w:r>
      <w:r w:rsidRPr="00E01379">
        <w:rPr>
          <w:rFonts w:asciiTheme="minorHAnsi" w:hAnsiTheme="minorHAnsi" w:cstheme="minorHAnsi"/>
          <w:sz w:val="24"/>
          <w:szCs w:val="24"/>
        </w:rPr>
        <w:t>required</w:t>
      </w:r>
      <w:r w:rsidRPr="00E01379">
        <w:rPr>
          <w:rFonts w:asciiTheme="minorHAnsi" w:hAnsiTheme="minorHAnsi" w:cstheme="minorHAnsi"/>
          <w:spacing w:val="-5"/>
          <w:sz w:val="24"/>
          <w:szCs w:val="24"/>
        </w:rPr>
        <w:t xml:space="preserve"> </w:t>
      </w:r>
      <w:r w:rsidRPr="00E01379">
        <w:rPr>
          <w:rFonts w:asciiTheme="minorHAnsi" w:hAnsiTheme="minorHAnsi" w:cstheme="minorHAnsi"/>
          <w:sz w:val="24"/>
          <w:szCs w:val="24"/>
        </w:rPr>
        <w:t>by</w:t>
      </w:r>
      <w:r w:rsidRPr="00E01379">
        <w:rPr>
          <w:rFonts w:asciiTheme="minorHAnsi" w:hAnsiTheme="minorHAnsi" w:cstheme="minorHAnsi"/>
          <w:spacing w:val="-6"/>
          <w:sz w:val="24"/>
          <w:szCs w:val="24"/>
        </w:rPr>
        <w:t xml:space="preserve"> </w:t>
      </w:r>
      <w:r w:rsidRPr="00E01379">
        <w:rPr>
          <w:rFonts w:asciiTheme="minorHAnsi" w:hAnsiTheme="minorHAnsi" w:cstheme="minorHAnsi"/>
          <w:sz w:val="24"/>
          <w:szCs w:val="24"/>
        </w:rPr>
        <w:t>applicable</w:t>
      </w:r>
      <w:r w:rsidRPr="00E01379">
        <w:rPr>
          <w:rFonts w:asciiTheme="minorHAnsi" w:hAnsiTheme="minorHAnsi" w:cstheme="minorHAnsi"/>
          <w:spacing w:val="-5"/>
          <w:sz w:val="24"/>
          <w:szCs w:val="24"/>
        </w:rPr>
        <w:t xml:space="preserve"> </w:t>
      </w:r>
      <w:r w:rsidRPr="00E01379">
        <w:rPr>
          <w:rFonts w:asciiTheme="minorHAnsi" w:hAnsiTheme="minorHAnsi" w:cstheme="minorHAnsi"/>
          <w:sz w:val="24"/>
          <w:szCs w:val="24"/>
        </w:rPr>
        <w:t>law.</w:t>
      </w:r>
    </w:p>
    <w:p w14:paraId="65A14CE8" w14:textId="77777777" w:rsidR="007B33CB" w:rsidRPr="00E01379" w:rsidRDefault="007B33CB" w:rsidP="007B33CB">
      <w:pPr>
        <w:pStyle w:val="BodyText"/>
        <w:spacing w:before="3"/>
        <w:rPr>
          <w:rFonts w:asciiTheme="minorHAnsi" w:hAnsiTheme="minorHAnsi" w:cstheme="minorHAnsi"/>
          <w:sz w:val="24"/>
          <w:szCs w:val="24"/>
        </w:rPr>
      </w:pPr>
    </w:p>
    <w:p w14:paraId="272FC846" w14:textId="1BE72DB8" w:rsidR="00B726EF" w:rsidRDefault="007B33CB" w:rsidP="000A5BA7">
      <w:pPr>
        <w:ind w:left="120" w:right="118" w:hanging="1"/>
        <w:jc w:val="both"/>
        <w:rPr>
          <w:rFonts w:asciiTheme="minorHAnsi" w:hAnsiTheme="minorHAnsi" w:cstheme="minorHAnsi"/>
          <w:i/>
          <w:sz w:val="24"/>
          <w:szCs w:val="24"/>
        </w:rPr>
      </w:pPr>
      <w:r w:rsidRPr="00E01379">
        <w:rPr>
          <w:rFonts w:asciiTheme="minorHAnsi" w:hAnsiTheme="minorHAnsi" w:cstheme="minorHAnsi"/>
          <w:i/>
          <w:sz w:val="24"/>
          <w:szCs w:val="24"/>
        </w:rPr>
        <w:t>Neither the TSX Venture Exchange nor its Regulation Services Provider (as that term is defined in the policies of the TSX Venture Exchange) accepts responsibility for the adequacy or accuracy of this release, and the TSX Venture Exchange has in no way passed upon the merits of the proposed Transaction.</w:t>
      </w:r>
    </w:p>
    <w:p w14:paraId="40FB9C2E" w14:textId="77777777" w:rsidR="00761EE1" w:rsidRDefault="00761EE1" w:rsidP="000A5BA7">
      <w:pPr>
        <w:ind w:left="120" w:right="118" w:hanging="1"/>
        <w:jc w:val="both"/>
        <w:rPr>
          <w:rFonts w:asciiTheme="minorHAnsi" w:hAnsiTheme="minorHAnsi" w:cstheme="minorHAnsi"/>
          <w:i/>
          <w:sz w:val="24"/>
          <w:szCs w:val="24"/>
        </w:rPr>
      </w:pPr>
    </w:p>
    <w:p w14:paraId="69A521F8" w14:textId="77777777" w:rsidR="00761EE1" w:rsidRPr="00A45402" w:rsidRDefault="00761EE1" w:rsidP="00A45402">
      <w:pPr>
        <w:ind w:left="120" w:right="118" w:hanging="1"/>
        <w:jc w:val="both"/>
        <w:rPr>
          <w:rFonts w:asciiTheme="minorHAnsi" w:hAnsiTheme="minorHAnsi" w:cstheme="minorHAnsi"/>
          <w:sz w:val="24"/>
          <w:szCs w:val="24"/>
        </w:rPr>
      </w:pPr>
      <w:r w:rsidRPr="00A45402">
        <w:rPr>
          <w:rFonts w:asciiTheme="minorHAnsi" w:hAnsiTheme="minorHAnsi" w:cstheme="minorHAnsi"/>
          <w:sz w:val="24"/>
          <w:szCs w:val="24"/>
        </w:rPr>
        <w:t>For further information please contact:</w:t>
      </w:r>
    </w:p>
    <w:p w14:paraId="7F1503B4" w14:textId="347B1B0A" w:rsidR="00761EE1" w:rsidRPr="00A45402" w:rsidRDefault="00761EE1" w:rsidP="00A45402">
      <w:pPr>
        <w:ind w:left="120" w:right="118" w:hanging="1"/>
        <w:rPr>
          <w:rFonts w:asciiTheme="minorHAnsi" w:hAnsiTheme="minorHAnsi" w:cstheme="minorHAnsi"/>
          <w:sz w:val="24"/>
          <w:szCs w:val="24"/>
        </w:rPr>
      </w:pPr>
      <w:r>
        <w:rPr>
          <w:rFonts w:asciiTheme="minorHAnsi" w:hAnsiTheme="minorHAnsi" w:cstheme="minorHAnsi"/>
          <w:sz w:val="24"/>
          <w:szCs w:val="24"/>
        </w:rPr>
        <w:t>Compass Gold Corporation</w:t>
      </w:r>
      <w:r w:rsidRPr="00A45402">
        <w:rPr>
          <w:rFonts w:asciiTheme="minorHAnsi" w:hAnsiTheme="minorHAnsi" w:cstheme="minorHAnsi"/>
          <w:sz w:val="24"/>
          <w:szCs w:val="24"/>
        </w:rPr>
        <w:t>.,</w:t>
      </w:r>
      <w:r w:rsidRPr="00A45402">
        <w:rPr>
          <w:rFonts w:asciiTheme="minorHAnsi" w:hAnsiTheme="minorHAnsi" w:cstheme="minorHAnsi"/>
          <w:sz w:val="24"/>
          <w:szCs w:val="24"/>
        </w:rPr>
        <w:br/>
        <w:t xml:space="preserve">Attention: </w:t>
      </w:r>
      <w:r>
        <w:rPr>
          <w:rFonts w:asciiTheme="minorHAnsi" w:hAnsiTheme="minorHAnsi" w:cstheme="minorHAnsi"/>
          <w:sz w:val="24"/>
          <w:szCs w:val="24"/>
        </w:rPr>
        <w:t>James Henderson</w:t>
      </w:r>
      <w:r w:rsidRPr="00A45402">
        <w:rPr>
          <w:rFonts w:asciiTheme="minorHAnsi" w:hAnsiTheme="minorHAnsi" w:cstheme="minorHAnsi"/>
          <w:sz w:val="24"/>
          <w:szCs w:val="24"/>
        </w:rPr>
        <w:br/>
        <w:t>Tel: +</w:t>
      </w:r>
      <w:r>
        <w:rPr>
          <w:rFonts w:asciiTheme="minorHAnsi" w:hAnsiTheme="minorHAnsi" w:cstheme="minorHAnsi"/>
          <w:sz w:val="24"/>
          <w:szCs w:val="24"/>
        </w:rPr>
        <w:t>6</w:t>
      </w:r>
      <w:r w:rsidRPr="00761EE1">
        <w:rPr>
          <w:rFonts w:asciiTheme="minorHAnsi" w:hAnsiTheme="minorHAnsi" w:cstheme="minorHAnsi"/>
          <w:sz w:val="24"/>
          <w:szCs w:val="24"/>
        </w:rPr>
        <w:t>1 40</w:t>
      </w:r>
      <w:r>
        <w:rPr>
          <w:rFonts w:asciiTheme="minorHAnsi" w:hAnsiTheme="minorHAnsi" w:cstheme="minorHAnsi"/>
          <w:sz w:val="24"/>
          <w:szCs w:val="24"/>
        </w:rPr>
        <w:t>3 603 377</w:t>
      </w:r>
      <w:r w:rsidRPr="00A45402">
        <w:rPr>
          <w:rFonts w:asciiTheme="minorHAnsi" w:hAnsiTheme="minorHAnsi" w:cstheme="minorHAnsi"/>
          <w:sz w:val="24"/>
          <w:szCs w:val="24"/>
        </w:rPr>
        <w:br/>
        <w:t>Website: </w:t>
      </w:r>
      <w:hyperlink r:id="rId9" w:history="1">
        <w:r w:rsidRPr="00A45402">
          <w:rPr>
            <w:rStyle w:val="Hyperlink"/>
            <w:rFonts w:asciiTheme="minorHAnsi" w:hAnsiTheme="minorHAnsi" w:cstheme="minorHAnsi"/>
            <w:sz w:val="24"/>
            <w:szCs w:val="24"/>
          </w:rPr>
          <w:t>www.</w:t>
        </w:r>
        <w:r w:rsidRPr="005467D2">
          <w:rPr>
            <w:rStyle w:val="Hyperlink"/>
            <w:rFonts w:asciiTheme="minorHAnsi" w:hAnsiTheme="minorHAnsi" w:cstheme="minorHAnsi"/>
            <w:sz w:val="24"/>
            <w:szCs w:val="24"/>
          </w:rPr>
          <w:t>compassgoldcorp</w:t>
        </w:r>
        <w:r w:rsidRPr="00A45402">
          <w:rPr>
            <w:rStyle w:val="Hyperlink"/>
            <w:rFonts w:asciiTheme="minorHAnsi" w:hAnsiTheme="minorHAnsi" w:cstheme="minorHAnsi"/>
            <w:sz w:val="24"/>
            <w:szCs w:val="24"/>
          </w:rPr>
          <w:t>.com</w:t>
        </w:r>
      </w:hyperlink>
    </w:p>
    <w:p w14:paraId="1E002AF1" w14:textId="77777777" w:rsidR="00761EE1" w:rsidRPr="00A45402" w:rsidRDefault="00761EE1" w:rsidP="000A5BA7">
      <w:pPr>
        <w:ind w:left="120" w:right="118" w:hanging="1"/>
        <w:jc w:val="both"/>
        <w:rPr>
          <w:rFonts w:asciiTheme="minorHAnsi" w:hAnsiTheme="minorHAnsi" w:cstheme="minorHAnsi"/>
          <w:sz w:val="24"/>
          <w:szCs w:val="24"/>
        </w:rPr>
      </w:pPr>
    </w:p>
    <w:sectPr w:rsidR="00761EE1" w:rsidRPr="00A45402" w:rsidSect="00581A28">
      <w:headerReference w:type="default" r:id="rId10"/>
      <w:headerReference w:type="first" r:id="rId11"/>
      <w:pgSz w:w="12240" w:h="15840" w:code="1"/>
      <w:pgMar w:top="1219" w:right="1321" w:bottom="993" w:left="1321" w:header="95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8C70C" w14:textId="77777777" w:rsidR="00731327" w:rsidRDefault="00731327" w:rsidP="007B33CB">
      <w:r>
        <w:separator/>
      </w:r>
    </w:p>
  </w:endnote>
  <w:endnote w:type="continuationSeparator" w:id="0">
    <w:p w14:paraId="3E2748B0" w14:textId="77777777" w:rsidR="00731327" w:rsidRDefault="00731327" w:rsidP="007B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FB8E1" w14:textId="77777777" w:rsidR="00731327" w:rsidRDefault="00731327" w:rsidP="007B33CB">
      <w:r>
        <w:separator/>
      </w:r>
    </w:p>
  </w:footnote>
  <w:footnote w:type="continuationSeparator" w:id="0">
    <w:p w14:paraId="15C6FD12" w14:textId="77777777" w:rsidR="00731327" w:rsidRDefault="00731327" w:rsidP="007B3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7E771" w14:textId="77777777" w:rsidR="00E0150F" w:rsidRDefault="00E0150F" w:rsidP="00E0150F">
    <w:pPr>
      <w:pStyle w:val="Header"/>
    </w:pPr>
  </w:p>
  <w:p w14:paraId="0946C6C7" w14:textId="77777777" w:rsidR="00C170AF" w:rsidRDefault="00731327">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90AC2" w14:textId="33E2EC0B" w:rsidR="00581A28" w:rsidRPr="006160F8" w:rsidRDefault="00581A28" w:rsidP="00581A28">
    <w:pPr>
      <w:pStyle w:val="Header"/>
      <w:spacing w:before="80"/>
      <w:jc w:val="right"/>
      <w:rPr>
        <w:color w:val="7F7F7F"/>
      </w:rPr>
    </w:pPr>
    <w:r w:rsidRPr="006160F8">
      <w:rPr>
        <w:noProof/>
        <w:lang w:val="en-CA" w:eastAsia="en-CA"/>
      </w:rPr>
      <w:drawing>
        <wp:anchor distT="0" distB="0" distL="114300" distR="114300" simplePos="0" relativeHeight="251657216" behindDoc="1" locked="0" layoutInCell="1" allowOverlap="1" wp14:anchorId="3470B68D" wp14:editId="63181C35">
          <wp:simplePos x="0" y="0"/>
          <wp:positionH relativeFrom="column">
            <wp:posOffset>-691515</wp:posOffset>
          </wp:positionH>
          <wp:positionV relativeFrom="paragraph">
            <wp:posOffset>-456565</wp:posOffset>
          </wp:positionV>
          <wp:extent cx="8556625" cy="1414780"/>
          <wp:effectExtent l="0" t="0" r="0" b="0"/>
          <wp:wrapNone/>
          <wp:docPr id="3" name="Picture 3" descr="cgc-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gc-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6625"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0F8">
      <w:rPr>
        <w:color w:val="222222"/>
        <w:shd w:val="clear" w:color="auto" w:fill="FFFFFF"/>
      </w:rPr>
      <w:t>Suite 1430 - 800 West Pender Street</w:t>
    </w:r>
    <w:r w:rsidRPr="006160F8">
      <w:rPr>
        <w:color w:val="222222"/>
      </w:rPr>
      <w:br/>
    </w:r>
    <w:r w:rsidRPr="006160F8">
      <w:rPr>
        <w:color w:val="222222"/>
        <w:shd w:val="clear" w:color="auto" w:fill="FFFFFF"/>
      </w:rPr>
      <w:t>Vancouver, BC</w:t>
    </w:r>
    <w:r w:rsidRPr="006160F8">
      <w:rPr>
        <w:color w:val="222222"/>
      </w:rPr>
      <w:br/>
    </w:r>
    <w:r w:rsidRPr="006160F8">
      <w:rPr>
        <w:color w:val="222222"/>
        <w:shd w:val="clear" w:color="auto" w:fill="FFFFFF"/>
      </w:rPr>
      <w:t>V6C 2V6</w:t>
    </w:r>
  </w:p>
  <w:p w14:paraId="3DCE7524" w14:textId="77777777" w:rsidR="00581A28" w:rsidRPr="006160F8" w:rsidRDefault="00581A28" w:rsidP="00581A28">
    <w:pPr>
      <w:pStyle w:val="Header"/>
      <w:spacing w:before="80"/>
      <w:jc w:val="right"/>
      <w:rPr>
        <w:color w:val="7F7F7F"/>
      </w:rPr>
    </w:pPr>
  </w:p>
  <w:p w14:paraId="27EDB704" w14:textId="2EFF070E" w:rsidR="00581A28" w:rsidRDefault="00581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7E5"/>
    <w:multiLevelType w:val="hybridMultilevel"/>
    <w:tmpl w:val="D03AD2D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
    <w:nsid w:val="161272A7"/>
    <w:multiLevelType w:val="hybridMultilevel"/>
    <w:tmpl w:val="6B66BFA6"/>
    <w:lvl w:ilvl="0" w:tplc="0C09000F">
      <w:start w:val="1"/>
      <w:numFmt w:val="decimal"/>
      <w:lvlText w:val="%1."/>
      <w:lvlJc w:val="left"/>
      <w:pPr>
        <w:ind w:left="839" w:hanging="360"/>
      </w:pPr>
    </w:lvl>
    <w:lvl w:ilvl="1" w:tplc="0C090019" w:tentative="1">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2">
    <w:nsid w:val="173B684A"/>
    <w:multiLevelType w:val="hybridMultilevel"/>
    <w:tmpl w:val="CCEC0DD8"/>
    <w:lvl w:ilvl="0" w:tplc="481CB1D6">
      <w:start w:val="1"/>
      <w:numFmt w:val="decimal"/>
      <w:lvlText w:val="%1."/>
      <w:lvlJc w:val="left"/>
      <w:pPr>
        <w:ind w:left="479" w:hanging="360"/>
      </w:pPr>
      <w:rPr>
        <w:rFonts w:hint="default"/>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1" w:val=" "/>
    <w:docVar w:name="FileDate" w:val=" Jul 11, 2017)"/>
    <w:docVar w:name="FName" w:val="CVB-TSXV NR - MGE Transaction - Draft (DB comments -"/>
    <w:docVar w:name="FNumOnly" w:val="2115"/>
    <w:docVar w:name="FooterPath" w:val="BWL\459001\RTO 2017\2115"/>
    <w:docVar w:name="Scrub" w:val="no"/>
    <w:docVar w:name="Version" w:val="1"/>
  </w:docVars>
  <w:rsids>
    <w:rsidRoot w:val="007B33CB"/>
    <w:rsid w:val="000A3A59"/>
    <w:rsid w:val="000A5BA7"/>
    <w:rsid w:val="001647B0"/>
    <w:rsid w:val="001C418F"/>
    <w:rsid w:val="00206494"/>
    <w:rsid w:val="00276C77"/>
    <w:rsid w:val="002850B4"/>
    <w:rsid w:val="002873DA"/>
    <w:rsid w:val="00287982"/>
    <w:rsid w:val="002A4833"/>
    <w:rsid w:val="002A675D"/>
    <w:rsid w:val="00355F75"/>
    <w:rsid w:val="003562AD"/>
    <w:rsid w:val="00357D69"/>
    <w:rsid w:val="003735E6"/>
    <w:rsid w:val="003770F6"/>
    <w:rsid w:val="00396546"/>
    <w:rsid w:val="003B4BE6"/>
    <w:rsid w:val="004122F0"/>
    <w:rsid w:val="00413628"/>
    <w:rsid w:val="004447C4"/>
    <w:rsid w:val="00496DF4"/>
    <w:rsid w:val="004B4FC1"/>
    <w:rsid w:val="004D7653"/>
    <w:rsid w:val="004E05B9"/>
    <w:rsid w:val="004F0D89"/>
    <w:rsid w:val="00516CBE"/>
    <w:rsid w:val="00525753"/>
    <w:rsid w:val="00542F18"/>
    <w:rsid w:val="00553445"/>
    <w:rsid w:val="00581A28"/>
    <w:rsid w:val="00582CA6"/>
    <w:rsid w:val="005A4893"/>
    <w:rsid w:val="006C2E71"/>
    <w:rsid w:val="006C3DA8"/>
    <w:rsid w:val="006C5848"/>
    <w:rsid w:val="00704714"/>
    <w:rsid w:val="00707D24"/>
    <w:rsid w:val="0072689A"/>
    <w:rsid w:val="00731327"/>
    <w:rsid w:val="007573A2"/>
    <w:rsid w:val="00761EE1"/>
    <w:rsid w:val="007A7C39"/>
    <w:rsid w:val="007B33CB"/>
    <w:rsid w:val="007D6092"/>
    <w:rsid w:val="008058B9"/>
    <w:rsid w:val="0081236B"/>
    <w:rsid w:val="00842CC7"/>
    <w:rsid w:val="00865578"/>
    <w:rsid w:val="0089575E"/>
    <w:rsid w:val="008A3185"/>
    <w:rsid w:val="008C4CDA"/>
    <w:rsid w:val="008D4824"/>
    <w:rsid w:val="008F34FD"/>
    <w:rsid w:val="0090501E"/>
    <w:rsid w:val="0097331E"/>
    <w:rsid w:val="009E4FA9"/>
    <w:rsid w:val="00A45402"/>
    <w:rsid w:val="00AB267D"/>
    <w:rsid w:val="00AB3745"/>
    <w:rsid w:val="00AF58A8"/>
    <w:rsid w:val="00B3585D"/>
    <w:rsid w:val="00B726EF"/>
    <w:rsid w:val="00B7464A"/>
    <w:rsid w:val="00B833A8"/>
    <w:rsid w:val="00BB4317"/>
    <w:rsid w:val="00C6155B"/>
    <w:rsid w:val="00C67198"/>
    <w:rsid w:val="00D07C33"/>
    <w:rsid w:val="00D66700"/>
    <w:rsid w:val="00D93CB0"/>
    <w:rsid w:val="00DB2212"/>
    <w:rsid w:val="00E01379"/>
    <w:rsid w:val="00E0150F"/>
    <w:rsid w:val="00E14DD0"/>
    <w:rsid w:val="00E21FEC"/>
    <w:rsid w:val="00E2506D"/>
    <w:rsid w:val="00ED5E72"/>
    <w:rsid w:val="00EF7711"/>
    <w:rsid w:val="00F20183"/>
    <w:rsid w:val="00F43801"/>
    <w:rsid w:val="00F91E66"/>
    <w:rsid w:val="00FA6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7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33CB"/>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7B33CB"/>
    <w:pPr>
      <w:ind w:left="11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33CB"/>
    <w:rPr>
      <w:rFonts w:ascii="Calibri" w:eastAsia="Calibri" w:hAnsi="Calibri" w:cs="Calibri"/>
      <w:b/>
      <w:bCs/>
      <w:lang w:val="en-US"/>
    </w:rPr>
  </w:style>
  <w:style w:type="paragraph" w:styleId="BodyText">
    <w:name w:val="Body Text"/>
    <w:basedOn w:val="Normal"/>
    <w:link w:val="BodyTextChar"/>
    <w:uiPriority w:val="1"/>
    <w:qFormat/>
    <w:rsid w:val="007B33CB"/>
  </w:style>
  <w:style w:type="character" w:customStyle="1" w:styleId="BodyTextChar">
    <w:name w:val="Body Text Char"/>
    <w:basedOn w:val="DefaultParagraphFont"/>
    <w:link w:val="BodyText"/>
    <w:uiPriority w:val="1"/>
    <w:rsid w:val="007B33CB"/>
    <w:rPr>
      <w:rFonts w:ascii="Calibri" w:eastAsia="Calibri" w:hAnsi="Calibri" w:cs="Calibri"/>
      <w:lang w:val="en-US"/>
    </w:rPr>
  </w:style>
  <w:style w:type="paragraph" w:styleId="Header">
    <w:name w:val="header"/>
    <w:basedOn w:val="Normal"/>
    <w:link w:val="HeaderChar"/>
    <w:uiPriority w:val="99"/>
    <w:unhideWhenUsed/>
    <w:rsid w:val="007B33CB"/>
    <w:pPr>
      <w:tabs>
        <w:tab w:val="center" w:pos="4513"/>
        <w:tab w:val="right" w:pos="9026"/>
      </w:tabs>
    </w:pPr>
  </w:style>
  <w:style w:type="character" w:customStyle="1" w:styleId="HeaderChar">
    <w:name w:val="Header Char"/>
    <w:basedOn w:val="DefaultParagraphFont"/>
    <w:link w:val="Header"/>
    <w:uiPriority w:val="99"/>
    <w:rsid w:val="007B33CB"/>
    <w:rPr>
      <w:rFonts w:ascii="Calibri" w:eastAsia="Calibri" w:hAnsi="Calibri" w:cs="Calibri"/>
      <w:lang w:val="en-US"/>
    </w:rPr>
  </w:style>
  <w:style w:type="paragraph" w:styleId="Footer">
    <w:name w:val="footer"/>
    <w:basedOn w:val="Normal"/>
    <w:link w:val="FooterChar"/>
    <w:uiPriority w:val="99"/>
    <w:unhideWhenUsed/>
    <w:rsid w:val="007B33CB"/>
    <w:pPr>
      <w:tabs>
        <w:tab w:val="center" w:pos="4513"/>
        <w:tab w:val="right" w:pos="9026"/>
      </w:tabs>
    </w:pPr>
  </w:style>
  <w:style w:type="character" w:customStyle="1" w:styleId="FooterChar">
    <w:name w:val="Footer Char"/>
    <w:basedOn w:val="DefaultParagraphFont"/>
    <w:link w:val="Footer"/>
    <w:uiPriority w:val="99"/>
    <w:rsid w:val="007B33CB"/>
    <w:rPr>
      <w:rFonts w:ascii="Calibri" w:eastAsia="Calibri" w:hAnsi="Calibri" w:cs="Calibri"/>
      <w:lang w:val="en-US"/>
    </w:rPr>
  </w:style>
  <w:style w:type="paragraph" w:styleId="NormalWeb">
    <w:name w:val="Normal (Web)"/>
    <w:basedOn w:val="Normal"/>
    <w:uiPriority w:val="99"/>
    <w:semiHidden/>
    <w:unhideWhenUsed/>
    <w:rsid w:val="004D7653"/>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2850B4"/>
    <w:rPr>
      <w:sz w:val="16"/>
      <w:szCs w:val="16"/>
    </w:rPr>
  </w:style>
  <w:style w:type="paragraph" w:styleId="CommentText">
    <w:name w:val="annotation text"/>
    <w:basedOn w:val="Normal"/>
    <w:link w:val="CommentTextChar"/>
    <w:uiPriority w:val="99"/>
    <w:semiHidden/>
    <w:unhideWhenUsed/>
    <w:rsid w:val="002850B4"/>
    <w:rPr>
      <w:sz w:val="20"/>
      <w:szCs w:val="20"/>
    </w:rPr>
  </w:style>
  <w:style w:type="character" w:customStyle="1" w:styleId="CommentTextChar">
    <w:name w:val="Comment Text Char"/>
    <w:basedOn w:val="DefaultParagraphFont"/>
    <w:link w:val="CommentText"/>
    <w:uiPriority w:val="99"/>
    <w:semiHidden/>
    <w:rsid w:val="002850B4"/>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850B4"/>
    <w:rPr>
      <w:b/>
      <w:bCs/>
    </w:rPr>
  </w:style>
  <w:style w:type="character" w:customStyle="1" w:styleId="CommentSubjectChar">
    <w:name w:val="Comment Subject Char"/>
    <w:basedOn w:val="CommentTextChar"/>
    <w:link w:val="CommentSubject"/>
    <w:uiPriority w:val="99"/>
    <w:semiHidden/>
    <w:rsid w:val="002850B4"/>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285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B4"/>
    <w:rPr>
      <w:rFonts w:ascii="Segoe UI" w:eastAsia="Calibri" w:hAnsi="Segoe UI" w:cs="Segoe UI"/>
      <w:sz w:val="18"/>
      <w:szCs w:val="18"/>
      <w:lang w:val="en-US"/>
    </w:rPr>
  </w:style>
  <w:style w:type="paragraph" w:styleId="Revision">
    <w:name w:val="Revision"/>
    <w:hidden/>
    <w:uiPriority w:val="99"/>
    <w:semiHidden/>
    <w:rsid w:val="00D66700"/>
    <w:pPr>
      <w:spacing w:after="0" w:line="240" w:lineRule="auto"/>
    </w:pPr>
    <w:rPr>
      <w:rFonts w:ascii="Calibri" w:eastAsia="Calibri" w:hAnsi="Calibri" w:cs="Calibri"/>
      <w:lang w:val="en-US"/>
    </w:rPr>
  </w:style>
  <w:style w:type="character" w:styleId="Emphasis">
    <w:name w:val="Emphasis"/>
    <w:basedOn w:val="DefaultParagraphFont"/>
    <w:uiPriority w:val="20"/>
    <w:qFormat/>
    <w:rsid w:val="00761EE1"/>
    <w:rPr>
      <w:i/>
      <w:iCs/>
    </w:rPr>
  </w:style>
  <w:style w:type="character" w:styleId="Hyperlink">
    <w:name w:val="Hyperlink"/>
    <w:basedOn w:val="DefaultParagraphFont"/>
    <w:uiPriority w:val="99"/>
    <w:unhideWhenUsed/>
    <w:rsid w:val="00761EE1"/>
    <w:rPr>
      <w:color w:val="0000FF"/>
      <w:u w:val="single"/>
    </w:rPr>
  </w:style>
  <w:style w:type="character" w:customStyle="1" w:styleId="UnresolvedMention">
    <w:name w:val="Unresolved Mention"/>
    <w:basedOn w:val="DefaultParagraphFont"/>
    <w:uiPriority w:val="99"/>
    <w:semiHidden/>
    <w:unhideWhenUsed/>
    <w:rsid w:val="00761E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33CB"/>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7B33CB"/>
    <w:pPr>
      <w:ind w:left="11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33CB"/>
    <w:rPr>
      <w:rFonts w:ascii="Calibri" w:eastAsia="Calibri" w:hAnsi="Calibri" w:cs="Calibri"/>
      <w:b/>
      <w:bCs/>
      <w:lang w:val="en-US"/>
    </w:rPr>
  </w:style>
  <w:style w:type="paragraph" w:styleId="BodyText">
    <w:name w:val="Body Text"/>
    <w:basedOn w:val="Normal"/>
    <w:link w:val="BodyTextChar"/>
    <w:uiPriority w:val="1"/>
    <w:qFormat/>
    <w:rsid w:val="007B33CB"/>
  </w:style>
  <w:style w:type="character" w:customStyle="1" w:styleId="BodyTextChar">
    <w:name w:val="Body Text Char"/>
    <w:basedOn w:val="DefaultParagraphFont"/>
    <w:link w:val="BodyText"/>
    <w:uiPriority w:val="1"/>
    <w:rsid w:val="007B33CB"/>
    <w:rPr>
      <w:rFonts w:ascii="Calibri" w:eastAsia="Calibri" w:hAnsi="Calibri" w:cs="Calibri"/>
      <w:lang w:val="en-US"/>
    </w:rPr>
  </w:style>
  <w:style w:type="paragraph" w:styleId="Header">
    <w:name w:val="header"/>
    <w:basedOn w:val="Normal"/>
    <w:link w:val="HeaderChar"/>
    <w:uiPriority w:val="99"/>
    <w:unhideWhenUsed/>
    <w:rsid w:val="007B33CB"/>
    <w:pPr>
      <w:tabs>
        <w:tab w:val="center" w:pos="4513"/>
        <w:tab w:val="right" w:pos="9026"/>
      </w:tabs>
    </w:pPr>
  </w:style>
  <w:style w:type="character" w:customStyle="1" w:styleId="HeaderChar">
    <w:name w:val="Header Char"/>
    <w:basedOn w:val="DefaultParagraphFont"/>
    <w:link w:val="Header"/>
    <w:uiPriority w:val="99"/>
    <w:rsid w:val="007B33CB"/>
    <w:rPr>
      <w:rFonts w:ascii="Calibri" w:eastAsia="Calibri" w:hAnsi="Calibri" w:cs="Calibri"/>
      <w:lang w:val="en-US"/>
    </w:rPr>
  </w:style>
  <w:style w:type="paragraph" w:styleId="Footer">
    <w:name w:val="footer"/>
    <w:basedOn w:val="Normal"/>
    <w:link w:val="FooterChar"/>
    <w:uiPriority w:val="99"/>
    <w:unhideWhenUsed/>
    <w:rsid w:val="007B33CB"/>
    <w:pPr>
      <w:tabs>
        <w:tab w:val="center" w:pos="4513"/>
        <w:tab w:val="right" w:pos="9026"/>
      </w:tabs>
    </w:pPr>
  </w:style>
  <w:style w:type="character" w:customStyle="1" w:styleId="FooterChar">
    <w:name w:val="Footer Char"/>
    <w:basedOn w:val="DefaultParagraphFont"/>
    <w:link w:val="Footer"/>
    <w:uiPriority w:val="99"/>
    <w:rsid w:val="007B33CB"/>
    <w:rPr>
      <w:rFonts w:ascii="Calibri" w:eastAsia="Calibri" w:hAnsi="Calibri" w:cs="Calibri"/>
      <w:lang w:val="en-US"/>
    </w:rPr>
  </w:style>
  <w:style w:type="paragraph" w:styleId="NormalWeb">
    <w:name w:val="Normal (Web)"/>
    <w:basedOn w:val="Normal"/>
    <w:uiPriority w:val="99"/>
    <w:semiHidden/>
    <w:unhideWhenUsed/>
    <w:rsid w:val="004D7653"/>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2850B4"/>
    <w:rPr>
      <w:sz w:val="16"/>
      <w:szCs w:val="16"/>
    </w:rPr>
  </w:style>
  <w:style w:type="paragraph" w:styleId="CommentText">
    <w:name w:val="annotation text"/>
    <w:basedOn w:val="Normal"/>
    <w:link w:val="CommentTextChar"/>
    <w:uiPriority w:val="99"/>
    <w:semiHidden/>
    <w:unhideWhenUsed/>
    <w:rsid w:val="002850B4"/>
    <w:rPr>
      <w:sz w:val="20"/>
      <w:szCs w:val="20"/>
    </w:rPr>
  </w:style>
  <w:style w:type="character" w:customStyle="1" w:styleId="CommentTextChar">
    <w:name w:val="Comment Text Char"/>
    <w:basedOn w:val="DefaultParagraphFont"/>
    <w:link w:val="CommentText"/>
    <w:uiPriority w:val="99"/>
    <w:semiHidden/>
    <w:rsid w:val="002850B4"/>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850B4"/>
    <w:rPr>
      <w:b/>
      <w:bCs/>
    </w:rPr>
  </w:style>
  <w:style w:type="character" w:customStyle="1" w:styleId="CommentSubjectChar">
    <w:name w:val="Comment Subject Char"/>
    <w:basedOn w:val="CommentTextChar"/>
    <w:link w:val="CommentSubject"/>
    <w:uiPriority w:val="99"/>
    <w:semiHidden/>
    <w:rsid w:val="002850B4"/>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285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B4"/>
    <w:rPr>
      <w:rFonts w:ascii="Segoe UI" w:eastAsia="Calibri" w:hAnsi="Segoe UI" w:cs="Segoe UI"/>
      <w:sz w:val="18"/>
      <w:szCs w:val="18"/>
      <w:lang w:val="en-US"/>
    </w:rPr>
  </w:style>
  <w:style w:type="paragraph" w:styleId="Revision">
    <w:name w:val="Revision"/>
    <w:hidden/>
    <w:uiPriority w:val="99"/>
    <w:semiHidden/>
    <w:rsid w:val="00D66700"/>
    <w:pPr>
      <w:spacing w:after="0" w:line="240" w:lineRule="auto"/>
    </w:pPr>
    <w:rPr>
      <w:rFonts w:ascii="Calibri" w:eastAsia="Calibri" w:hAnsi="Calibri" w:cs="Calibri"/>
      <w:lang w:val="en-US"/>
    </w:rPr>
  </w:style>
  <w:style w:type="character" w:styleId="Emphasis">
    <w:name w:val="Emphasis"/>
    <w:basedOn w:val="DefaultParagraphFont"/>
    <w:uiPriority w:val="20"/>
    <w:qFormat/>
    <w:rsid w:val="00761EE1"/>
    <w:rPr>
      <w:i/>
      <w:iCs/>
    </w:rPr>
  </w:style>
  <w:style w:type="character" w:styleId="Hyperlink">
    <w:name w:val="Hyperlink"/>
    <w:basedOn w:val="DefaultParagraphFont"/>
    <w:uiPriority w:val="99"/>
    <w:unhideWhenUsed/>
    <w:rsid w:val="00761EE1"/>
    <w:rPr>
      <w:color w:val="0000FF"/>
      <w:u w:val="single"/>
    </w:rPr>
  </w:style>
  <w:style w:type="character" w:customStyle="1" w:styleId="UnresolvedMention">
    <w:name w:val="Unresolved Mention"/>
    <w:basedOn w:val="DefaultParagraphFont"/>
    <w:uiPriority w:val="99"/>
    <w:semiHidden/>
    <w:unhideWhenUsed/>
    <w:rsid w:val="00761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9715">
      <w:bodyDiv w:val="1"/>
      <w:marLeft w:val="0"/>
      <w:marRight w:val="0"/>
      <w:marTop w:val="0"/>
      <w:marBottom w:val="0"/>
      <w:divBdr>
        <w:top w:val="none" w:sz="0" w:space="0" w:color="auto"/>
        <w:left w:val="none" w:sz="0" w:space="0" w:color="auto"/>
        <w:bottom w:val="none" w:sz="0" w:space="0" w:color="auto"/>
        <w:right w:val="none" w:sz="0" w:space="0" w:color="auto"/>
      </w:divBdr>
    </w:div>
    <w:div w:id="1343580518">
      <w:bodyDiv w:val="1"/>
      <w:marLeft w:val="0"/>
      <w:marRight w:val="0"/>
      <w:marTop w:val="0"/>
      <w:marBottom w:val="0"/>
      <w:divBdr>
        <w:top w:val="none" w:sz="0" w:space="0" w:color="auto"/>
        <w:left w:val="none" w:sz="0" w:space="0" w:color="auto"/>
        <w:bottom w:val="none" w:sz="0" w:space="0" w:color="auto"/>
        <w:right w:val="none" w:sz="0" w:space="0" w:color="auto"/>
      </w:divBdr>
    </w:div>
    <w:div w:id="1598951358">
      <w:bodyDiv w:val="1"/>
      <w:marLeft w:val="0"/>
      <w:marRight w:val="0"/>
      <w:marTop w:val="0"/>
      <w:marBottom w:val="0"/>
      <w:divBdr>
        <w:top w:val="none" w:sz="0" w:space="0" w:color="auto"/>
        <w:left w:val="none" w:sz="0" w:space="0" w:color="auto"/>
        <w:bottom w:val="none" w:sz="0" w:space="0" w:color="auto"/>
        <w:right w:val="none" w:sz="0" w:space="0" w:color="auto"/>
      </w:divBdr>
    </w:div>
    <w:div w:id="19052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assgoldcor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37BD-07A3-4BB0-A0C9-68E8F696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Iacusso</dc:creator>
  <cp:lastModifiedBy>Danica Topolewski</cp:lastModifiedBy>
  <cp:revision>5</cp:revision>
  <cp:lastPrinted>2017-07-12T03:41:00Z</cp:lastPrinted>
  <dcterms:created xsi:type="dcterms:W3CDTF">2017-07-12T22:49:00Z</dcterms:created>
  <dcterms:modified xsi:type="dcterms:W3CDTF">2017-07-13T03:17:00Z</dcterms:modified>
</cp:coreProperties>
</file>